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1A" w:rsidRPr="005B66C4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r w:rsidRPr="00212083">
        <w:rPr>
          <w:rFonts w:ascii="Arial" w:hAnsi="Arial" w:cs="Arial"/>
          <w:sz w:val="28"/>
          <w:szCs w:val="28"/>
          <w:lang w:val="en-US"/>
        </w:rPr>
        <w:t xml:space="preserve">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ovom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projektu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ucestvovali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ucenici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drugo</w:t>
      </w:r>
      <w:r>
        <w:rPr>
          <w:rFonts w:ascii="Arial" w:hAnsi="Arial" w:cs="Arial"/>
          <w:sz w:val="28"/>
          <w:szCs w:val="28"/>
          <w:lang w:val="en-US"/>
        </w:rPr>
        <w:t>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razreda</w:t>
      </w:r>
      <w:proofErr w:type="spellEnd"/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Ucenici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drugog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razreda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podijeljeni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4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6</w:t>
      </w:r>
      <w:bookmarkStart w:id="0" w:name="_GoBack"/>
      <w:bookmarkEnd w:id="0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ucenika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 xml:space="preserve">I 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dobili</w:t>
      </w:r>
      <w:proofErr w:type="spellEnd"/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sledeci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zadatak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na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casu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Matematike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>:</w:t>
      </w:r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Zadatak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:</w:t>
      </w:r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Pronaci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odredjene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podatke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koji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odnose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b/>
          <w:sz w:val="28"/>
          <w:szCs w:val="28"/>
          <w:lang w:val="en-US"/>
        </w:rPr>
        <w:t>na</w:t>
      </w:r>
      <w:proofErr w:type="spellEnd"/>
      <w:proofErr w:type="gram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turisticku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ponudu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grada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Niksica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mogu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212083">
        <w:rPr>
          <w:rFonts w:ascii="Arial" w:hAnsi="Arial" w:cs="Arial"/>
          <w:b/>
          <w:sz w:val="28"/>
          <w:szCs w:val="28"/>
          <w:lang w:val="en-US"/>
        </w:rPr>
        <w:t>zraziti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brojcano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Podatke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b/>
          <w:sz w:val="28"/>
          <w:szCs w:val="28"/>
          <w:lang w:val="en-US"/>
        </w:rPr>
        <w:t>selektovati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</w:t>
      </w:r>
      <w:proofErr w:type="spellEnd"/>
      <w:proofErr w:type="gram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odredjenim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kategorijama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izvrsiti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odredjene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statisticke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proracune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procentualno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obraditi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pripremiti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ih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tako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da se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dobijeni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podaci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mogu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predstaviti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preko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tabela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grafikona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I sl.  </w:t>
      </w:r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Ucenici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prikupili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>podatke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,</w:t>
      </w:r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obradili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dobili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sledece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rezultate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koje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predstavili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sledecim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tabelama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:</w:t>
      </w:r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Smjestajni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kapaciteti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Niksicu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72"/>
      </w:tblGrid>
      <w:tr w:rsidR="00C1691A" w:rsidRPr="00212083" w:rsidTr="00D53EF2">
        <w:trPr>
          <w:trHeight w:val="309"/>
        </w:trPr>
        <w:tc>
          <w:tcPr>
            <w:tcW w:w="3343" w:type="dxa"/>
            <w:gridSpan w:val="2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Turisticki</w:t>
            </w:r>
            <w:proofErr w:type="spellEnd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kapaciteti</w:t>
            </w:r>
            <w:proofErr w:type="spellEnd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Niksicu</w:t>
            </w:r>
            <w:proofErr w:type="spellEnd"/>
          </w:p>
        </w:tc>
      </w:tr>
      <w:tr w:rsidR="00C1691A" w:rsidRPr="00212083" w:rsidTr="00D53EF2">
        <w:trPr>
          <w:trHeight w:val="309"/>
        </w:trPr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Hoteli</w:t>
            </w:r>
            <w:proofErr w:type="spellEnd"/>
          </w:p>
        </w:tc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</w:tr>
      <w:tr w:rsidR="00C1691A" w:rsidRPr="00212083" w:rsidTr="00D53EF2">
        <w:trPr>
          <w:trHeight w:val="293"/>
        </w:trPr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Apartmani</w:t>
            </w:r>
            <w:proofErr w:type="spellEnd"/>
          </w:p>
        </w:tc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12083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</w:tr>
      <w:tr w:rsidR="00C1691A" w:rsidRPr="00212083" w:rsidTr="00D53EF2">
        <w:trPr>
          <w:trHeight w:val="293"/>
        </w:trPr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71" w:type="dxa"/>
          </w:tcPr>
          <w:p w:rsidR="00C1691A" w:rsidRPr="00212083" w:rsidRDefault="00C1691A" w:rsidP="00D53EF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 xml:space="preserve">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1.Izračunati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procentima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zastupljenost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hotela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apartmana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ukupnoj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ponudi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smjestajnih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kapaciteta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Niksicu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Gastro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ponuda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(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objekti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>)</w:t>
      </w:r>
    </w:p>
    <w:tbl>
      <w:tblPr>
        <w:tblW w:w="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960"/>
      </w:tblGrid>
      <w:tr w:rsidR="00C1691A" w:rsidRPr="00212083" w:rsidTr="00D53EF2">
        <w:trPr>
          <w:trHeight w:val="288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restorani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C1691A" w:rsidRPr="00212083" w:rsidTr="00D53EF2">
        <w:trPr>
          <w:trHeight w:val="288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picerije</w:t>
            </w:r>
            <w:proofErr w:type="spellEnd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brza</w:t>
            </w:r>
            <w:proofErr w:type="spellEnd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hrana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C1691A" w:rsidRPr="00212083" w:rsidTr="00D53EF2">
        <w:trPr>
          <w:trHeight w:val="288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seoska</w:t>
            </w:r>
            <w:proofErr w:type="spellEnd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domacinstva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r w:rsidRPr="00212083">
        <w:rPr>
          <w:rFonts w:ascii="Arial" w:hAnsi="Arial" w:cs="Arial"/>
          <w:sz w:val="28"/>
          <w:szCs w:val="28"/>
          <w:lang w:val="en-US"/>
        </w:rPr>
        <w:lastRenderedPageBreak/>
        <w:t xml:space="preserve">II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2.Izraziti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procentualno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zastupljenost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restorana</w:t>
      </w:r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>,picerija</w:t>
      </w:r>
      <w:proofErr w:type="spellEnd"/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brze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hrane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seoskih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domaćinstava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ukupnoj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ponudi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gastro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objekata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.</w:t>
      </w:r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Zabava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(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objekti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>)</w:t>
      </w:r>
    </w:p>
    <w:tbl>
      <w:tblPr>
        <w:tblW w:w="2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960"/>
      </w:tblGrid>
      <w:tr w:rsidR="00C1691A" w:rsidRPr="00212083" w:rsidTr="00D53EF2">
        <w:trPr>
          <w:trHeight w:val="288"/>
        </w:trPr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kafici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40</w:t>
            </w:r>
          </w:p>
        </w:tc>
      </w:tr>
      <w:tr w:rsidR="00C1691A" w:rsidRPr="00212083" w:rsidTr="00D53EF2">
        <w:trPr>
          <w:trHeight w:val="288"/>
        </w:trPr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diskoteke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1691A" w:rsidRPr="00212083" w:rsidTr="00D53EF2">
        <w:trPr>
          <w:trHeight w:val="288"/>
        </w:trPr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bioskopi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1691A" w:rsidRPr="00212083" w:rsidTr="00D53EF2">
        <w:trPr>
          <w:trHeight w:val="288"/>
        </w:trPr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shoping</w:t>
            </w:r>
            <w:proofErr w:type="spellEnd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centri</w:t>
            </w:r>
            <w:proofErr w:type="spellEnd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III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grupa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3.</w:t>
      </w:r>
      <w:proofErr w:type="gram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Procentualno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predstaviti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zastupljenost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b/>
          <w:sz w:val="28"/>
          <w:szCs w:val="28"/>
          <w:lang w:val="en-US"/>
        </w:rPr>
        <w:t>objekata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za</w:t>
      </w:r>
      <w:proofErr w:type="spellEnd"/>
      <w:proofErr w:type="gram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zabavu</w:t>
      </w:r>
      <w:proofErr w:type="spellEnd"/>
    </w:p>
    <w:p w:rsidR="00C1691A" w:rsidRPr="00212083" w:rsidRDefault="00C1691A" w:rsidP="00C1691A">
      <w:pPr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Kulturne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manifestacije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po</w:t>
      </w:r>
      <w:proofErr w:type="spellEnd"/>
      <w:r w:rsidRPr="0021208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mjesecima</w:t>
      </w:r>
      <w:proofErr w:type="spellEnd"/>
    </w:p>
    <w:tbl>
      <w:tblPr>
        <w:tblW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960"/>
      </w:tblGrid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januar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februar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mart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april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maj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jun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jul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avgust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septembar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oktobar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novembar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1691A" w:rsidRPr="00212083" w:rsidTr="00D53EF2">
        <w:trPr>
          <w:trHeight w:val="288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decembar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1691A" w:rsidRPr="00212083" w:rsidRDefault="00C1691A" w:rsidP="00D53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12083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 xml:space="preserve">IV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4.</w:t>
      </w:r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>Predstaviti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procentima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zastupljenost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kulturnih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manifestacija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po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mjesecima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po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kvartalima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Komentarisati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koji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kvartal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najbogatiji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>sa</w:t>
      </w:r>
      <w:proofErr w:type="spellEnd"/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kulturnim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manifestacijama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>.</w:t>
      </w:r>
    </w:p>
    <w:p w:rsidR="00C1691A" w:rsidRPr="00212083" w:rsidRDefault="00C1691A" w:rsidP="00C1691A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Isti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ucenici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na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rFonts w:ascii="Arial" w:hAnsi="Arial" w:cs="Arial"/>
          <w:sz w:val="28"/>
          <w:szCs w:val="28"/>
          <w:lang w:val="en-US"/>
        </w:rPr>
        <w:t>casu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212083">
        <w:rPr>
          <w:rFonts w:ascii="Arial" w:hAnsi="Arial" w:cs="Arial"/>
          <w:b/>
          <w:sz w:val="28"/>
          <w:szCs w:val="28"/>
          <w:lang w:val="en-US"/>
        </w:rPr>
        <w:t>Informatike</w:t>
      </w:r>
      <w:proofErr w:type="spellEnd"/>
      <w:proofErr w:type="gram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dobijene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rezultate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predstavili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sledecim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grafikonima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koje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uradili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programskom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paketu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Microsoft Excel I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donijeli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sledece</w:t>
      </w:r>
      <w:proofErr w:type="spellEnd"/>
      <w:r w:rsidRPr="0021208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12083">
        <w:rPr>
          <w:rFonts w:ascii="Arial" w:hAnsi="Arial" w:cs="Arial"/>
          <w:sz w:val="28"/>
          <w:szCs w:val="28"/>
          <w:lang w:val="en-US"/>
        </w:rPr>
        <w:t>zakljucke</w:t>
      </w:r>
      <w:proofErr w:type="spellEnd"/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B905251" wp14:editId="2AB2D14F">
            <wp:extent cx="3496733" cy="2218267"/>
            <wp:effectExtent l="0" t="0" r="889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29147C0C" wp14:editId="11E7A29E">
            <wp:extent cx="3437467" cy="1820333"/>
            <wp:effectExtent l="0" t="0" r="10795" b="88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91A" w:rsidRPr="00212083" w:rsidRDefault="00C1691A" w:rsidP="00C1691A">
      <w:pPr>
        <w:rPr>
          <w:sz w:val="28"/>
          <w:szCs w:val="28"/>
          <w:lang w:val="en-US"/>
        </w:rPr>
      </w:pPr>
      <w:r w:rsidRPr="00212083">
        <w:rPr>
          <w:sz w:val="28"/>
          <w:szCs w:val="28"/>
          <w:lang w:val="en-US"/>
        </w:rPr>
        <w:t xml:space="preserve">Da je </w:t>
      </w:r>
      <w:proofErr w:type="spellStart"/>
      <w:proofErr w:type="gramStart"/>
      <w:r w:rsidRPr="00212083">
        <w:rPr>
          <w:sz w:val="28"/>
          <w:szCs w:val="28"/>
          <w:lang w:val="en-US"/>
        </w:rPr>
        <w:t>ukupan</w:t>
      </w:r>
      <w:proofErr w:type="spellEnd"/>
      <w:r w:rsidRPr="00212083">
        <w:rPr>
          <w:sz w:val="28"/>
          <w:szCs w:val="28"/>
          <w:lang w:val="en-US"/>
        </w:rPr>
        <w:t xml:space="preserve">  </w:t>
      </w:r>
      <w:proofErr w:type="spellStart"/>
      <w:r w:rsidRPr="00212083">
        <w:rPr>
          <w:sz w:val="28"/>
          <w:szCs w:val="28"/>
          <w:lang w:val="en-US"/>
        </w:rPr>
        <w:t>broj</w:t>
      </w:r>
      <w:proofErr w:type="spellEnd"/>
      <w:proofErr w:type="gram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turistickih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kapaciteta</w:t>
      </w:r>
      <w:proofErr w:type="spellEnd"/>
      <w:r w:rsidRPr="00212083">
        <w:rPr>
          <w:sz w:val="28"/>
          <w:szCs w:val="28"/>
          <w:lang w:val="en-US"/>
        </w:rPr>
        <w:t xml:space="preserve"> u </w:t>
      </w:r>
      <w:proofErr w:type="spellStart"/>
      <w:r w:rsidRPr="00212083">
        <w:rPr>
          <w:sz w:val="28"/>
          <w:szCs w:val="28"/>
          <w:lang w:val="en-US"/>
        </w:rPr>
        <w:t>Niksicu</w:t>
      </w:r>
      <w:proofErr w:type="spellEnd"/>
      <w:r w:rsidRPr="00212083">
        <w:rPr>
          <w:sz w:val="28"/>
          <w:szCs w:val="28"/>
          <w:lang w:val="en-US"/>
        </w:rPr>
        <w:t xml:space="preserve"> 50, </w:t>
      </w:r>
      <w:proofErr w:type="spellStart"/>
      <w:r w:rsidRPr="00212083">
        <w:rPr>
          <w:sz w:val="28"/>
          <w:szCs w:val="28"/>
          <w:lang w:val="en-US"/>
        </w:rPr>
        <w:t>od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cega</w:t>
      </w:r>
      <w:proofErr w:type="spellEnd"/>
      <w:r w:rsidRPr="00212083">
        <w:rPr>
          <w:sz w:val="28"/>
          <w:szCs w:val="28"/>
          <w:lang w:val="en-US"/>
        </w:rPr>
        <w:t xml:space="preserve"> je </w:t>
      </w:r>
      <w:proofErr w:type="spellStart"/>
      <w:r w:rsidRPr="00212083">
        <w:rPr>
          <w:sz w:val="28"/>
          <w:szCs w:val="28"/>
          <w:lang w:val="en-US"/>
        </w:rPr>
        <w:t>broj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hotela</w:t>
      </w:r>
      <w:proofErr w:type="spellEnd"/>
      <w:r w:rsidRPr="00212083">
        <w:rPr>
          <w:sz w:val="28"/>
          <w:szCs w:val="28"/>
          <w:lang w:val="en-US"/>
        </w:rPr>
        <w:t xml:space="preserve"> 9 a </w:t>
      </w:r>
      <w:proofErr w:type="spellStart"/>
      <w:r w:rsidRPr="00212083">
        <w:rPr>
          <w:sz w:val="28"/>
          <w:szCs w:val="28"/>
          <w:lang w:val="en-US"/>
        </w:rPr>
        <w:t>privatnih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apartmana</w:t>
      </w:r>
      <w:proofErr w:type="spellEnd"/>
      <w:r w:rsidRPr="00212083">
        <w:rPr>
          <w:sz w:val="28"/>
          <w:szCs w:val="28"/>
          <w:lang w:val="en-US"/>
        </w:rPr>
        <w:t xml:space="preserve"> 41 </w:t>
      </w:r>
      <w:proofErr w:type="spellStart"/>
      <w:r w:rsidRPr="00212083">
        <w:rPr>
          <w:sz w:val="28"/>
          <w:szCs w:val="28"/>
          <w:lang w:val="en-US"/>
        </w:rPr>
        <w:t>sto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procentima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predstavljno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iygleda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kaon</w:t>
      </w:r>
      <w:proofErr w:type="spellEnd"/>
      <w:r w:rsidRPr="00212083">
        <w:rPr>
          <w:sz w:val="28"/>
          <w:szCs w:val="28"/>
          <w:lang w:val="en-US"/>
        </w:rPr>
        <w:t xml:space="preserve"> a </w:t>
      </w:r>
      <w:proofErr w:type="spellStart"/>
      <w:r w:rsidRPr="00212083">
        <w:rPr>
          <w:sz w:val="28"/>
          <w:szCs w:val="28"/>
          <w:lang w:val="en-US"/>
        </w:rPr>
        <w:t>kruznom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grafikonu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tj</w:t>
      </w:r>
      <w:proofErr w:type="spellEnd"/>
      <w:r w:rsidRPr="0021208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12083">
        <w:rPr>
          <w:sz w:val="28"/>
          <w:szCs w:val="28"/>
          <w:lang w:val="en-US"/>
        </w:rPr>
        <w:t>turisticki</w:t>
      </w:r>
      <w:proofErr w:type="spellEnd"/>
      <w:proofErr w:type="gram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kapaciteti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uglavnom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apartmani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koji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zastupljeni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sa</w:t>
      </w:r>
      <w:proofErr w:type="spellEnd"/>
      <w:r w:rsidRPr="00212083">
        <w:rPr>
          <w:sz w:val="28"/>
          <w:szCs w:val="28"/>
          <w:lang w:val="en-US"/>
        </w:rPr>
        <w:t xml:space="preserve"> 82% u </w:t>
      </w:r>
      <w:proofErr w:type="spellStart"/>
      <w:r w:rsidRPr="00212083">
        <w:rPr>
          <w:sz w:val="28"/>
          <w:szCs w:val="28"/>
          <w:lang w:val="en-US"/>
        </w:rPr>
        <w:t>odnosu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na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hotele</w:t>
      </w:r>
      <w:proofErr w:type="spellEnd"/>
      <w:r w:rsidRPr="00212083">
        <w:rPr>
          <w:sz w:val="28"/>
          <w:szCs w:val="28"/>
          <w:lang w:val="en-US"/>
        </w:rPr>
        <w:t xml:space="preserve"> – 18%  </w:t>
      </w:r>
    </w:p>
    <w:p w:rsidR="00C1691A" w:rsidRPr="00212083" w:rsidRDefault="00C1691A" w:rsidP="00C1691A">
      <w:pPr>
        <w:rPr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Default="00C1691A" w:rsidP="00C1691A">
      <w:pPr>
        <w:rPr>
          <w:b/>
          <w:sz w:val="28"/>
          <w:szCs w:val="28"/>
          <w:lang w:val="en-US"/>
        </w:rPr>
      </w:pPr>
    </w:p>
    <w:p w:rsidR="00C1691A" w:rsidRPr="00212083" w:rsidRDefault="00C1691A" w:rsidP="00C1691A">
      <w:pPr>
        <w:rPr>
          <w:b/>
          <w:sz w:val="28"/>
          <w:szCs w:val="28"/>
          <w:lang w:val="en-US"/>
        </w:rPr>
      </w:pPr>
      <w:r w:rsidRPr="00212083">
        <w:rPr>
          <w:b/>
          <w:sz w:val="28"/>
          <w:szCs w:val="28"/>
          <w:lang w:val="en-US"/>
        </w:rPr>
        <w:lastRenderedPageBreak/>
        <w:t xml:space="preserve">Gastro </w:t>
      </w:r>
      <w:proofErr w:type="spellStart"/>
      <w:r w:rsidRPr="00212083">
        <w:rPr>
          <w:b/>
          <w:sz w:val="28"/>
          <w:szCs w:val="28"/>
          <w:lang w:val="en-US"/>
        </w:rPr>
        <w:t>ponuda</w:t>
      </w:r>
      <w:proofErr w:type="spellEnd"/>
      <w:r w:rsidRPr="00212083">
        <w:rPr>
          <w:b/>
          <w:sz w:val="28"/>
          <w:szCs w:val="28"/>
          <w:lang w:val="en-US"/>
        </w:rPr>
        <w:t xml:space="preserve"> – </w:t>
      </w:r>
      <w:proofErr w:type="spellStart"/>
      <w:r w:rsidRPr="00212083">
        <w:rPr>
          <w:b/>
          <w:sz w:val="28"/>
          <w:szCs w:val="28"/>
          <w:lang w:val="en-US"/>
        </w:rPr>
        <w:t>objekti</w:t>
      </w:r>
      <w:proofErr w:type="spellEnd"/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7E563B18" wp14:editId="4D2614A9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48F3647F" wp14:editId="3C633274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691A" w:rsidRPr="00212083" w:rsidRDefault="00C1691A" w:rsidP="00C1691A">
      <w:pPr>
        <w:rPr>
          <w:sz w:val="28"/>
          <w:szCs w:val="28"/>
          <w:lang w:val="en-US"/>
        </w:rPr>
      </w:pPr>
      <w:proofErr w:type="spellStart"/>
      <w:r w:rsidRPr="00212083">
        <w:rPr>
          <w:sz w:val="28"/>
          <w:szCs w:val="28"/>
          <w:lang w:val="en-US"/>
        </w:rPr>
        <w:t>Objekti</w:t>
      </w:r>
      <w:proofErr w:type="spellEnd"/>
      <w:r w:rsidRPr="00212083">
        <w:rPr>
          <w:sz w:val="28"/>
          <w:szCs w:val="28"/>
          <w:lang w:val="en-US"/>
        </w:rPr>
        <w:t xml:space="preserve"> gastro </w:t>
      </w:r>
      <w:proofErr w:type="spellStart"/>
      <w:r w:rsidRPr="00212083">
        <w:rPr>
          <w:sz w:val="28"/>
          <w:szCs w:val="28"/>
          <w:lang w:val="en-US"/>
        </w:rPr>
        <w:t>ponude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restorani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kojih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ima</w:t>
      </w:r>
      <w:proofErr w:type="spellEnd"/>
      <w:r w:rsidRPr="00212083">
        <w:rPr>
          <w:sz w:val="28"/>
          <w:szCs w:val="28"/>
          <w:lang w:val="en-US"/>
        </w:rPr>
        <w:t xml:space="preserve"> 16 I </w:t>
      </w:r>
      <w:proofErr w:type="spellStart"/>
      <w:r w:rsidRPr="00212083">
        <w:rPr>
          <w:sz w:val="28"/>
          <w:szCs w:val="28"/>
          <w:lang w:val="en-US"/>
        </w:rPr>
        <w:t>zastupljeni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sa</w:t>
      </w:r>
      <w:proofErr w:type="spellEnd"/>
      <w:r w:rsidRPr="00212083">
        <w:rPr>
          <w:sz w:val="28"/>
          <w:szCs w:val="28"/>
          <w:lang w:val="en-US"/>
        </w:rPr>
        <w:t xml:space="preserve"> 44% u </w:t>
      </w:r>
      <w:proofErr w:type="spellStart"/>
      <w:r w:rsidRPr="00212083">
        <w:rPr>
          <w:sz w:val="28"/>
          <w:szCs w:val="28"/>
          <w:lang w:val="en-US"/>
        </w:rPr>
        <w:t>ukupnoj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ponudi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grada</w:t>
      </w:r>
      <w:proofErr w:type="spellEnd"/>
      <w:r w:rsidRPr="00212083">
        <w:rPr>
          <w:sz w:val="28"/>
          <w:szCs w:val="28"/>
          <w:lang w:val="en-US"/>
        </w:rPr>
        <w:t xml:space="preserve">, </w:t>
      </w:r>
      <w:proofErr w:type="spellStart"/>
      <w:r w:rsidRPr="00212083">
        <w:rPr>
          <w:sz w:val="28"/>
          <w:szCs w:val="28"/>
          <w:lang w:val="en-US"/>
        </w:rPr>
        <w:t>objekata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picerija</w:t>
      </w:r>
      <w:proofErr w:type="spellEnd"/>
      <w:r w:rsidRPr="00212083">
        <w:rPr>
          <w:sz w:val="28"/>
          <w:szCs w:val="28"/>
          <w:lang w:val="en-US"/>
        </w:rPr>
        <w:t xml:space="preserve">  I </w:t>
      </w:r>
      <w:proofErr w:type="spellStart"/>
      <w:r w:rsidRPr="00212083">
        <w:rPr>
          <w:sz w:val="28"/>
          <w:szCs w:val="28"/>
          <w:lang w:val="en-US"/>
        </w:rPr>
        <w:t>brze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hrane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ima</w:t>
      </w:r>
      <w:proofErr w:type="spellEnd"/>
      <w:r w:rsidRPr="00212083">
        <w:rPr>
          <w:sz w:val="28"/>
          <w:szCs w:val="28"/>
          <w:lang w:val="en-US"/>
        </w:rPr>
        <w:t xml:space="preserve"> 16 I </w:t>
      </w:r>
      <w:proofErr w:type="spellStart"/>
      <w:r w:rsidRPr="00212083">
        <w:rPr>
          <w:sz w:val="28"/>
          <w:szCs w:val="28"/>
          <w:lang w:val="en-US"/>
        </w:rPr>
        <w:t>zastupljeni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sa</w:t>
      </w:r>
      <w:proofErr w:type="spellEnd"/>
      <w:r w:rsidRPr="00212083">
        <w:rPr>
          <w:sz w:val="28"/>
          <w:szCs w:val="28"/>
          <w:lang w:val="en-US"/>
        </w:rPr>
        <w:t xml:space="preserve"> 44% u </w:t>
      </w:r>
      <w:proofErr w:type="spellStart"/>
      <w:r w:rsidRPr="00212083">
        <w:rPr>
          <w:sz w:val="28"/>
          <w:szCs w:val="28"/>
          <w:lang w:val="en-US"/>
        </w:rPr>
        <w:t>ukupnoj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ponudi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grada</w:t>
      </w:r>
      <w:proofErr w:type="spellEnd"/>
      <w:r w:rsidRPr="00212083">
        <w:rPr>
          <w:sz w:val="28"/>
          <w:szCs w:val="28"/>
          <w:lang w:val="en-US"/>
        </w:rPr>
        <w:t xml:space="preserve"> a </w:t>
      </w:r>
      <w:proofErr w:type="spellStart"/>
      <w:r w:rsidRPr="00212083">
        <w:rPr>
          <w:sz w:val="28"/>
          <w:szCs w:val="28"/>
          <w:lang w:val="en-US"/>
        </w:rPr>
        <w:t>seoskih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domacinstava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ima</w:t>
      </w:r>
      <w:proofErr w:type="spellEnd"/>
      <w:r w:rsidRPr="00212083">
        <w:rPr>
          <w:sz w:val="28"/>
          <w:szCs w:val="28"/>
          <w:lang w:val="en-US"/>
        </w:rPr>
        <w:t xml:space="preserve"> 4 I </w:t>
      </w:r>
      <w:proofErr w:type="spellStart"/>
      <w:r w:rsidRPr="00212083">
        <w:rPr>
          <w:sz w:val="28"/>
          <w:szCs w:val="28"/>
          <w:lang w:val="en-US"/>
        </w:rPr>
        <w:t>zastupljeni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sa</w:t>
      </w:r>
      <w:proofErr w:type="spellEnd"/>
      <w:r w:rsidRPr="00212083">
        <w:rPr>
          <w:sz w:val="28"/>
          <w:szCs w:val="28"/>
          <w:lang w:val="en-US"/>
        </w:rPr>
        <w:t xml:space="preserve">  11% u </w:t>
      </w:r>
      <w:proofErr w:type="spellStart"/>
      <w:r w:rsidRPr="00212083">
        <w:rPr>
          <w:sz w:val="28"/>
          <w:szCs w:val="28"/>
          <w:lang w:val="en-US"/>
        </w:rPr>
        <w:t>ukupnoj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ponudi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grada</w:t>
      </w:r>
      <w:proofErr w:type="spellEnd"/>
      <w:r w:rsidRPr="00212083">
        <w:rPr>
          <w:sz w:val="28"/>
          <w:szCs w:val="28"/>
          <w:lang w:val="en-US"/>
        </w:rPr>
        <w:t xml:space="preserve">.  </w:t>
      </w:r>
    </w:p>
    <w:p w:rsidR="00C1691A" w:rsidRPr="00212083" w:rsidRDefault="00C1691A" w:rsidP="00C1691A">
      <w:pPr>
        <w:rPr>
          <w:sz w:val="28"/>
          <w:szCs w:val="28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proofErr w:type="spellStart"/>
      <w:r w:rsidRPr="007F5A34">
        <w:rPr>
          <w:sz w:val="24"/>
          <w:szCs w:val="24"/>
          <w:lang w:val="en-US"/>
        </w:rPr>
        <w:t>Zabava</w:t>
      </w:r>
      <w:proofErr w:type="spellEnd"/>
      <w:r w:rsidRPr="007F5A34">
        <w:rPr>
          <w:sz w:val="24"/>
          <w:szCs w:val="24"/>
          <w:lang w:val="en-US"/>
        </w:rPr>
        <w:t xml:space="preserve"> (</w:t>
      </w:r>
      <w:proofErr w:type="spellStart"/>
      <w:r w:rsidRPr="007F5A34">
        <w:rPr>
          <w:sz w:val="24"/>
          <w:szCs w:val="24"/>
          <w:lang w:val="en-US"/>
        </w:rPr>
        <w:t>objekti</w:t>
      </w:r>
      <w:proofErr w:type="spellEnd"/>
      <w:r w:rsidRPr="007F5A34">
        <w:rPr>
          <w:sz w:val="24"/>
          <w:szCs w:val="24"/>
          <w:lang w:val="en-US"/>
        </w:rPr>
        <w:t>)</w:t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4936F92" wp14:editId="672C0F4D">
            <wp:extent cx="3901440" cy="2354580"/>
            <wp:effectExtent l="0" t="0" r="381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2053DFF5" wp14:editId="4CC36B75">
            <wp:extent cx="3619500" cy="2404110"/>
            <wp:effectExtent l="0" t="0" r="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691A" w:rsidRPr="00212083" w:rsidRDefault="00C1691A" w:rsidP="00C1691A">
      <w:pPr>
        <w:rPr>
          <w:sz w:val="28"/>
          <w:szCs w:val="28"/>
          <w:lang w:val="en-US"/>
        </w:rPr>
      </w:pPr>
      <w:r w:rsidRPr="00212083">
        <w:rPr>
          <w:sz w:val="28"/>
          <w:szCs w:val="28"/>
          <w:lang w:val="en-US"/>
        </w:rPr>
        <w:t xml:space="preserve">U </w:t>
      </w:r>
      <w:proofErr w:type="spellStart"/>
      <w:r w:rsidRPr="00212083">
        <w:rPr>
          <w:sz w:val="28"/>
          <w:szCs w:val="28"/>
          <w:lang w:val="en-US"/>
        </w:rPr>
        <w:t>Niksicu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ima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ukupno</w:t>
      </w:r>
      <w:proofErr w:type="spellEnd"/>
      <w:r w:rsidRPr="00212083">
        <w:rPr>
          <w:sz w:val="28"/>
          <w:szCs w:val="28"/>
          <w:lang w:val="en-US"/>
        </w:rPr>
        <w:t xml:space="preserve"> 43 </w:t>
      </w:r>
      <w:proofErr w:type="spellStart"/>
      <w:r w:rsidRPr="00212083">
        <w:rPr>
          <w:sz w:val="28"/>
          <w:szCs w:val="28"/>
          <w:lang w:val="en-US"/>
        </w:rPr>
        <w:t>objekta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zabave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od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cega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kafici</w:t>
      </w:r>
      <w:proofErr w:type="spellEnd"/>
      <w:r w:rsidRPr="00212083">
        <w:rPr>
          <w:sz w:val="28"/>
          <w:szCs w:val="28"/>
          <w:lang w:val="en-US"/>
        </w:rPr>
        <w:t xml:space="preserve"> 40 </w:t>
      </w:r>
      <w:proofErr w:type="spellStart"/>
      <w:r w:rsidRPr="00212083">
        <w:rPr>
          <w:sz w:val="28"/>
          <w:szCs w:val="28"/>
          <w:lang w:val="en-US"/>
        </w:rPr>
        <w:t>sto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cini</w:t>
      </w:r>
      <w:proofErr w:type="spellEnd"/>
      <w:r w:rsidRPr="00212083">
        <w:rPr>
          <w:sz w:val="28"/>
          <w:szCs w:val="28"/>
          <w:lang w:val="en-US"/>
        </w:rPr>
        <w:t xml:space="preserve"> 93% </w:t>
      </w:r>
      <w:proofErr w:type="spellStart"/>
      <w:r w:rsidRPr="00212083">
        <w:rPr>
          <w:sz w:val="28"/>
          <w:szCs w:val="28"/>
          <w:lang w:val="en-US"/>
        </w:rPr>
        <w:t>ponude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grada</w:t>
      </w:r>
      <w:proofErr w:type="spellEnd"/>
      <w:r w:rsidRPr="00212083">
        <w:rPr>
          <w:sz w:val="28"/>
          <w:szCs w:val="28"/>
          <w:lang w:val="en-US"/>
        </w:rPr>
        <w:t xml:space="preserve"> a </w:t>
      </w:r>
      <w:proofErr w:type="spellStart"/>
      <w:r w:rsidRPr="00212083">
        <w:rPr>
          <w:sz w:val="28"/>
          <w:szCs w:val="28"/>
          <w:lang w:val="en-US"/>
        </w:rPr>
        <w:t>po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jedan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objekat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diskoteka</w:t>
      </w:r>
      <w:proofErr w:type="spellEnd"/>
      <w:r w:rsidRPr="00212083">
        <w:rPr>
          <w:sz w:val="28"/>
          <w:szCs w:val="28"/>
          <w:lang w:val="en-US"/>
        </w:rPr>
        <w:t xml:space="preserve">, </w:t>
      </w:r>
      <w:proofErr w:type="spellStart"/>
      <w:r w:rsidRPr="00212083">
        <w:rPr>
          <w:sz w:val="28"/>
          <w:szCs w:val="28"/>
          <w:lang w:val="en-US"/>
        </w:rPr>
        <w:t>bioskop</w:t>
      </w:r>
      <w:proofErr w:type="spellEnd"/>
      <w:r w:rsidRPr="00212083">
        <w:rPr>
          <w:sz w:val="28"/>
          <w:szCs w:val="28"/>
          <w:lang w:val="en-US"/>
        </w:rPr>
        <w:t xml:space="preserve"> I </w:t>
      </w:r>
      <w:proofErr w:type="spellStart"/>
      <w:r w:rsidRPr="00212083">
        <w:rPr>
          <w:sz w:val="28"/>
          <w:szCs w:val="28"/>
          <w:lang w:val="en-US"/>
        </w:rPr>
        <w:t>shoping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centar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sto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cini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ukupno</w:t>
      </w:r>
      <w:proofErr w:type="spellEnd"/>
      <w:r w:rsidRPr="00212083">
        <w:rPr>
          <w:sz w:val="28"/>
          <w:szCs w:val="28"/>
          <w:lang w:val="en-US"/>
        </w:rPr>
        <w:t xml:space="preserve">  </w:t>
      </w:r>
      <w:proofErr w:type="spellStart"/>
      <w:r w:rsidRPr="00212083">
        <w:rPr>
          <w:sz w:val="28"/>
          <w:szCs w:val="28"/>
          <w:lang w:val="en-US"/>
        </w:rPr>
        <w:t>oko</w:t>
      </w:r>
      <w:proofErr w:type="spellEnd"/>
      <w:r w:rsidRPr="00212083">
        <w:rPr>
          <w:sz w:val="28"/>
          <w:szCs w:val="28"/>
          <w:lang w:val="en-US"/>
        </w:rPr>
        <w:t xml:space="preserve"> 2% </w:t>
      </w:r>
      <w:proofErr w:type="spellStart"/>
      <w:r w:rsidRPr="00212083">
        <w:rPr>
          <w:sz w:val="28"/>
          <w:szCs w:val="28"/>
          <w:lang w:val="en-US"/>
        </w:rPr>
        <w:t>zastupljenosti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tim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objektima</w:t>
      </w:r>
      <w:proofErr w:type="spellEnd"/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Default="00C1691A" w:rsidP="00C1691A">
      <w:pPr>
        <w:rPr>
          <w:sz w:val="24"/>
          <w:szCs w:val="24"/>
          <w:lang w:val="en-US"/>
        </w:rPr>
      </w:pPr>
    </w:p>
    <w:p w:rsidR="00C1691A" w:rsidRDefault="00C1691A" w:rsidP="00C1691A">
      <w:pPr>
        <w:rPr>
          <w:sz w:val="24"/>
          <w:szCs w:val="24"/>
          <w:lang w:val="en-US"/>
        </w:rPr>
      </w:pPr>
    </w:p>
    <w:p w:rsidR="00C1691A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b/>
          <w:sz w:val="24"/>
          <w:szCs w:val="24"/>
          <w:lang w:val="en-US"/>
        </w:rPr>
      </w:pPr>
      <w:proofErr w:type="spellStart"/>
      <w:r w:rsidRPr="007F5A34">
        <w:rPr>
          <w:b/>
          <w:sz w:val="24"/>
          <w:szCs w:val="24"/>
          <w:lang w:val="en-US"/>
        </w:rPr>
        <w:lastRenderedPageBreak/>
        <w:t>Kulturne</w:t>
      </w:r>
      <w:proofErr w:type="spellEnd"/>
      <w:r w:rsidRPr="007F5A34">
        <w:rPr>
          <w:b/>
          <w:sz w:val="24"/>
          <w:szCs w:val="24"/>
          <w:lang w:val="en-US"/>
        </w:rPr>
        <w:t xml:space="preserve"> </w:t>
      </w:r>
      <w:proofErr w:type="spellStart"/>
      <w:r w:rsidRPr="007F5A34">
        <w:rPr>
          <w:b/>
          <w:sz w:val="24"/>
          <w:szCs w:val="24"/>
          <w:lang w:val="en-US"/>
        </w:rPr>
        <w:t>manifestacije</w:t>
      </w:r>
      <w:proofErr w:type="spellEnd"/>
      <w:r w:rsidRPr="007F5A34">
        <w:rPr>
          <w:b/>
          <w:sz w:val="24"/>
          <w:szCs w:val="24"/>
          <w:lang w:val="en-US"/>
        </w:rPr>
        <w:t xml:space="preserve"> U </w:t>
      </w:r>
      <w:proofErr w:type="spellStart"/>
      <w:r w:rsidRPr="007F5A34">
        <w:rPr>
          <w:b/>
          <w:sz w:val="24"/>
          <w:szCs w:val="24"/>
          <w:lang w:val="en-US"/>
        </w:rPr>
        <w:t>Niksicu</w:t>
      </w:r>
      <w:proofErr w:type="spellEnd"/>
      <w:r w:rsidRPr="007F5A34">
        <w:rPr>
          <w:b/>
          <w:sz w:val="24"/>
          <w:szCs w:val="24"/>
          <w:lang w:val="en-US"/>
        </w:rPr>
        <w:t xml:space="preserve"> (</w:t>
      </w:r>
      <w:proofErr w:type="spellStart"/>
      <w:r w:rsidRPr="007F5A34">
        <w:rPr>
          <w:b/>
          <w:sz w:val="24"/>
          <w:szCs w:val="24"/>
          <w:lang w:val="en-US"/>
        </w:rPr>
        <w:t>po</w:t>
      </w:r>
      <w:proofErr w:type="spellEnd"/>
      <w:r w:rsidRPr="007F5A34">
        <w:rPr>
          <w:b/>
          <w:sz w:val="24"/>
          <w:szCs w:val="24"/>
          <w:lang w:val="en-US"/>
        </w:rPr>
        <w:t xml:space="preserve"> </w:t>
      </w:r>
      <w:proofErr w:type="spellStart"/>
      <w:r w:rsidRPr="007F5A34">
        <w:rPr>
          <w:b/>
          <w:sz w:val="24"/>
          <w:szCs w:val="24"/>
          <w:lang w:val="en-US"/>
        </w:rPr>
        <w:t>mjesecima</w:t>
      </w:r>
      <w:proofErr w:type="spellEnd"/>
      <w:r w:rsidRPr="007F5A34">
        <w:rPr>
          <w:b/>
          <w:sz w:val="24"/>
          <w:szCs w:val="24"/>
          <w:lang w:val="en-US"/>
        </w:rPr>
        <w:t>)</w:t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7FFE3CD8" wp14:editId="57712666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7F5A34" w:rsidRDefault="00C1691A" w:rsidP="00C1691A">
      <w:pPr>
        <w:rPr>
          <w:sz w:val="24"/>
          <w:szCs w:val="24"/>
          <w:lang w:val="en-US"/>
        </w:rPr>
      </w:pPr>
      <w:r w:rsidRPr="007F5A34">
        <w:rPr>
          <w:noProof/>
          <w:sz w:val="24"/>
          <w:szCs w:val="24"/>
          <w:lang w:val="en-US"/>
        </w:rPr>
        <w:drawing>
          <wp:inline distT="0" distB="0" distL="0" distR="0" wp14:anchorId="2ADB0188" wp14:editId="2ED67627">
            <wp:extent cx="4716780" cy="3364230"/>
            <wp:effectExtent l="0" t="0" r="7620" b="762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691A" w:rsidRPr="007F5A34" w:rsidRDefault="00C1691A" w:rsidP="00C1691A">
      <w:pPr>
        <w:rPr>
          <w:sz w:val="24"/>
          <w:szCs w:val="24"/>
          <w:lang w:val="en-US"/>
        </w:rPr>
      </w:pPr>
    </w:p>
    <w:p w:rsidR="00C1691A" w:rsidRPr="00212083" w:rsidRDefault="00C1691A" w:rsidP="00C1691A">
      <w:pPr>
        <w:rPr>
          <w:sz w:val="28"/>
          <w:szCs w:val="28"/>
          <w:lang w:val="en-US"/>
        </w:rPr>
      </w:pPr>
      <w:r w:rsidRPr="00212083">
        <w:rPr>
          <w:sz w:val="28"/>
          <w:szCs w:val="28"/>
          <w:lang w:val="en-US"/>
        </w:rPr>
        <w:t xml:space="preserve">U </w:t>
      </w:r>
      <w:proofErr w:type="spellStart"/>
      <w:r w:rsidRPr="00212083">
        <w:rPr>
          <w:sz w:val="28"/>
          <w:szCs w:val="28"/>
          <w:lang w:val="en-US"/>
        </w:rPr>
        <w:t>toku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godine</w:t>
      </w:r>
      <w:proofErr w:type="spellEnd"/>
      <w:r w:rsidRPr="00212083">
        <w:rPr>
          <w:sz w:val="28"/>
          <w:szCs w:val="28"/>
          <w:lang w:val="en-US"/>
        </w:rPr>
        <w:t xml:space="preserve"> u </w:t>
      </w:r>
      <w:proofErr w:type="spellStart"/>
      <w:r w:rsidRPr="00212083">
        <w:rPr>
          <w:sz w:val="28"/>
          <w:szCs w:val="28"/>
          <w:lang w:val="en-US"/>
        </w:rPr>
        <w:t>Niksicu</w:t>
      </w:r>
      <w:proofErr w:type="spellEnd"/>
      <w:r w:rsidRPr="00212083">
        <w:rPr>
          <w:sz w:val="28"/>
          <w:szCs w:val="28"/>
          <w:lang w:val="en-US"/>
        </w:rPr>
        <w:t xml:space="preserve"> se </w:t>
      </w:r>
      <w:proofErr w:type="spellStart"/>
      <w:r w:rsidRPr="00212083">
        <w:rPr>
          <w:sz w:val="28"/>
          <w:szCs w:val="28"/>
          <w:lang w:val="en-US"/>
        </w:rPr>
        <w:t>odrzi</w:t>
      </w:r>
      <w:proofErr w:type="spellEnd"/>
      <w:r w:rsidRPr="00212083">
        <w:rPr>
          <w:sz w:val="28"/>
          <w:szCs w:val="28"/>
          <w:lang w:val="en-US"/>
        </w:rPr>
        <w:t xml:space="preserve"> 21 </w:t>
      </w:r>
      <w:proofErr w:type="spellStart"/>
      <w:r w:rsidRPr="00212083">
        <w:rPr>
          <w:sz w:val="28"/>
          <w:szCs w:val="28"/>
          <w:lang w:val="en-US"/>
        </w:rPr>
        <w:t>kulturna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manifestacija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koje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su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rasporedjene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po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mjesecima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na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nacin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kako</w:t>
      </w:r>
      <w:proofErr w:type="spellEnd"/>
      <w:r w:rsidRPr="00212083">
        <w:rPr>
          <w:sz w:val="28"/>
          <w:szCs w:val="28"/>
          <w:lang w:val="en-US"/>
        </w:rPr>
        <w:t xml:space="preserve"> je </w:t>
      </w:r>
      <w:proofErr w:type="spellStart"/>
      <w:proofErr w:type="gramStart"/>
      <w:r w:rsidRPr="00212083">
        <w:rPr>
          <w:sz w:val="28"/>
          <w:szCs w:val="28"/>
          <w:lang w:val="en-US"/>
        </w:rPr>
        <w:t>prikazano</w:t>
      </w:r>
      <w:proofErr w:type="spellEnd"/>
      <w:r w:rsidRPr="00212083">
        <w:rPr>
          <w:sz w:val="28"/>
          <w:szCs w:val="28"/>
          <w:lang w:val="en-US"/>
        </w:rPr>
        <w:t xml:space="preserve">  </w:t>
      </w:r>
      <w:proofErr w:type="spellStart"/>
      <w:r w:rsidRPr="00212083">
        <w:rPr>
          <w:sz w:val="28"/>
          <w:szCs w:val="28"/>
          <w:lang w:val="en-US"/>
        </w:rPr>
        <w:t>tabelom</w:t>
      </w:r>
      <w:proofErr w:type="spellEnd"/>
      <w:proofErr w:type="gramEnd"/>
      <w:r w:rsidRPr="00212083">
        <w:rPr>
          <w:sz w:val="28"/>
          <w:szCs w:val="28"/>
          <w:lang w:val="en-US"/>
        </w:rPr>
        <w:t xml:space="preserve"> I </w:t>
      </w:r>
      <w:proofErr w:type="spellStart"/>
      <w:r w:rsidRPr="00212083">
        <w:rPr>
          <w:sz w:val="28"/>
          <w:szCs w:val="28"/>
          <w:lang w:val="en-US"/>
        </w:rPr>
        <w:t>grafikonima</w:t>
      </w:r>
      <w:proofErr w:type="spellEnd"/>
      <w:r w:rsidRPr="00212083">
        <w:rPr>
          <w:sz w:val="28"/>
          <w:szCs w:val="28"/>
          <w:lang w:val="en-US"/>
        </w:rPr>
        <w:t xml:space="preserve">. </w:t>
      </w:r>
      <w:proofErr w:type="spellStart"/>
      <w:r w:rsidRPr="00212083">
        <w:rPr>
          <w:sz w:val="28"/>
          <w:szCs w:val="28"/>
          <w:lang w:val="en-US"/>
        </w:rPr>
        <w:t>Najvise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kulturnih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manifestacija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ima</w:t>
      </w:r>
      <w:proofErr w:type="spellEnd"/>
      <w:r w:rsidRPr="00212083">
        <w:rPr>
          <w:sz w:val="28"/>
          <w:szCs w:val="28"/>
          <w:lang w:val="en-US"/>
        </w:rPr>
        <w:t xml:space="preserve"> u </w:t>
      </w:r>
      <w:proofErr w:type="spellStart"/>
      <w:r w:rsidRPr="00212083">
        <w:rPr>
          <w:sz w:val="28"/>
          <w:szCs w:val="28"/>
          <w:lang w:val="en-US"/>
        </w:rPr>
        <w:t>avgustu</w:t>
      </w:r>
      <w:proofErr w:type="spellEnd"/>
      <w:r w:rsidRPr="00212083">
        <w:rPr>
          <w:sz w:val="28"/>
          <w:szCs w:val="28"/>
          <w:lang w:val="en-US"/>
        </w:rPr>
        <w:t xml:space="preserve">, </w:t>
      </w:r>
      <w:proofErr w:type="spellStart"/>
      <w:r w:rsidRPr="00212083">
        <w:rPr>
          <w:sz w:val="28"/>
          <w:szCs w:val="28"/>
          <w:lang w:val="en-US"/>
        </w:rPr>
        <w:t>septembru</w:t>
      </w:r>
      <w:proofErr w:type="spellEnd"/>
      <w:r w:rsidRPr="00212083">
        <w:rPr>
          <w:sz w:val="28"/>
          <w:szCs w:val="28"/>
          <w:lang w:val="en-US"/>
        </w:rPr>
        <w:t xml:space="preserve"> I </w:t>
      </w:r>
      <w:proofErr w:type="spellStart"/>
      <w:r w:rsidRPr="00212083">
        <w:rPr>
          <w:sz w:val="28"/>
          <w:szCs w:val="28"/>
          <w:lang w:val="en-US"/>
        </w:rPr>
        <w:t>decembru</w:t>
      </w:r>
      <w:proofErr w:type="spellEnd"/>
      <w:r w:rsidRPr="00212083">
        <w:rPr>
          <w:sz w:val="28"/>
          <w:szCs w:val="28"/>
          <w:lang w:val="en-US"/>
        </w:rPr>
        <w:t xml:space="preserve"> a u </w:t>
      </w:r>
      <w:proofErr w:type="spellStart"/>
      <w:r w:rsidRPr="00212083">
        <w:rPr>
          <w:sz w:val="28"/>
          <w:szCs w:val="28"/>
          <w:lang w:val="en-US"/>
        </w:rPr>
        <w:t>januaru</w:t>
      </w:r>
      <w:proofErr w:type="spellEnd"/>
      <w:r w:rsidRPr="00212083">
        <w:rPr>
          <w:sz w:val="28"/>
          <w:szCs w:val="28"/>
          <w:lang w:val="en-US"/>
        </w:rPr>
        <w:t xml:space="preserve">, </w:t>
      </w:r>
      <w:proofErr w:type="spellStart"/>
      <w:r w:rsidRPr="00212083">
        <w:rPr>
          <w:sz w:val="28"/>
          <w:szCs w:val="28"/>
          <w:lang w:val="en-US"/>
        </w:rPr>
        <w:t>martu</w:t>
      </w:r>
      <w:proofErr w:type="spellEnd"/>
      <w:r w:rsidRPr="00212083">
        <w:rPr>
          <w:sz w:val="28"/>
          <w:szCs w:val="28"/>
          <w:lang w:val="en-US"/>
        </w:rPr>
        <w:t xml:space="preserve">, </w:t>
      </w:r>
      <w:proofErr w:type="spellStart"/>
      <w:r w:rsidRPr="00212083">
        <w:rPr>
          <w:sz w:val="28"/>
          <w:szCs w:val="28"/>
          <w:lang w:val="en-US"/>
        </w:rPr>
        <w:t>aprilu</w:t>
      </w:r>
      <w:proofErr w:type="spellEnd"/>
      <w:r w:rsidRPr="00212083">
        <w:rPr>
          <w:sz w:val="28"/>
          <w:szCs w:val="28"/>
          <w:lang w:val="en-US"/>
        </w:rPr>
        <w:t xml:space="preserve"> I </w:t>
      </w:r>
      <w:proofErr w:type="spellStart"/>
      <w:r w:rsidRPr="00212083">
        <w:rPr>
          <w:sz w:val="28"/>
          <w:szCs w:val="28"/>
          <w:lang w:val="en-US"/>
        </w:rPr>
        <w:t>decembru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ih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r w:rsidRPr="00212083">
        <w:rPr>
          <w:sz w:val="28"/>
          <w:szCs w:val="28"/>
          <w:lang w:val="en-US"/>
        </w:rPr>
        <w:t>uopste</w:t>
      </w:r>
      <w:proofErr w:type="spellEnd"/>
      <w:r w:rsidRPr="0021208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12083">
        <w:rPr>
          <w:sz w:val="28"/>
          <w:szCs w:val="28"/>
          <w:lang w:val="en-US"/>
        </w:rPr>
        <w:t>nema</w:t>
      </w:r>
      <w:proofErr w:type="spellEnd"/>
      <w:proofErr w:type="gramEnd"/>
      <w:r w:rsidRPr="00212083">
        <w:rPr>
          <w:sz w:val="28"/>
          <w:szCs w:val="28"/>
          <w:lang w:val="en-US"/>
        </w:rPr>
        <w:t xml:space="preserve">. </w:t>
      </w:r>
    </w:p>
    <w:p w:rsidR="00783CF3" w:rsidRDefault="00783CF3"/>
    <w:sectPr w:rsidR="00783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1A"/>
    <w:rsid w:val="00783CF3"/>
    <w:rsid w:val="00C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1A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1A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1A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1A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\Desktop\grafikoni%20za%20semin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Turisticki kapaciteti  u Niksicu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Sheet1!$B$7:$B$8</c:f>
              <c:strCache>
                <c:ptCount val="2"/>
                <c:pt idx="0">
                  <c:v>hoteli</c:v>
                </c:pt>
                <c:pt idx="1">
                  <c:v>apartmani</c:v>
                </c:pt>
              </c:strCache>
            </c:strRef>
          </c:cat>
          <c:val>
            <c:numRef>
              <c:f>Sheet1!$C$7:$C$8</c:f>
              <c:numCache>
                <c:formatCode>General</c:formatCode>
                <c:ptCount val="2"/>
                <c:pt idx="0">
                  <c:v>9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13728"/>
        <c:axId val="32315648"/>
      </c:barChart>
      <c:catAx>
        <c:axId val="32313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turisticki objekti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15648"/>
        <c:crosses val="autoZero"/>
        <c:auto val="1"/>
        <c:lblAlgn val="ctr"/>
        <c:lblOffset val="100"/>
        <c:noMultiLvlLbl val="0"/>
      </c:catAx>
      <c:valAx>
        <c:axId val="3231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broj objekata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1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4">
            <a:lumMod val="110000"/>
            <a:satMod val="105000"/>
            <a:tint val="67000"/>
          </a:schemeClr>
        </a:gs>
        <a:gs pos="50000">
          <a:schemeClr val="accent4">
            <a:lumMod val="105000"/>
            <a:satMod val="103000"/>
            <a:tint val="73000"/>
          </a:schemeClr>
        </a:gs>
        <a:gs pos="100000">
          <a:schemeClr val="accent4">
            <a:lumMod val="105000"/>
            <a:satMod val="109000"/>
            <a:tint val="81000"/>
          </a:schemeClr>
        </a:gs>
      </a:gsLst>
      <a:lin ang="5400000" scaled="0"/>
    </a:gradFill>
    <a:ln w="6350" cap="flat" cmpd="sng" algn="ctr">
      <a:solidFill>
        <a:schemeClr val="accent4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/>
              <a:t>Zastupljenost turistickih kapaciteta u Niksicu</a:t>
            </a:r>
          </a:p>
        </c:rich>
      </c:tx>
      <c:layout>
        <c:manualLayout>
          <c:xMode val="edge"/>
          <c:yMode val="edge"/>
          <c:x val="0.1108634111818825"/>
          <c:y val="3.035822707953855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Sheet1!$B$7:$B$8</c:f>
              <c:strCache>
                <c:ptCount val="2"/>
                <c:pt idx="0">
                  <c:v>hoteli</c:v>
                </c:pt>
                <c:pt idx="1">
                  <c:v>apartmani</c:v>
                </c:pt>
              </c:strCache>
            </c:strRef>
          </c:cat>
          <c:val>
            <c:numRef>
              <c:f>Sheet1!$C$7:$C$8</c:f>
              <c:numCache>
                <c:formatCode>General</c:formatCode>
                <c:ptCount val="2"/>
                <c:pt idx="0">
                  <c:v>9</c:v>
                </c:pt>
                <c:pt idx="1">
                  <c:v>41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Gastro ponuda Niksica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Sheet1!$B$19:$B$21</c:f>
              <c:strCache>
                <c:ptCount val="3"/>
                <c:pt idx="0">
                  <c:v>restorani</c:v>
                </c:pt>
                <c:pt idx="1">
                  <c:v>picerije I brza hrana</c:v>
                </c:pt>
                <c:pt idx="2">
                  <c:v>seoska domacinstva</c:v>
                </c:pt>
              </c:strCache>
            </c:strRef>
          </c:cat>
          <c:val>
            <c:numRef>
              <c:f>Sheet1!$C$19:$C$21</c:f>
              <c:numCache>
                <c:formatCode>General</c:formatCode>
                <c:ptCount val="3"/>
                <c:pt idx="0">
                  <c:v>16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384128"/>
        <c:axId val="32387456"/>
      </c:barChart>
      <c:catAx>
        <c:axId val="32384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objekti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87456"/>
        <c:crosses val="autoZero"/>
        <c:auto val="1"/>
        <c:lblAlgn val="ctr"/>
        <c:lblOffset val="100"/>
        <c:noMultiLvlLbl val="0"/>
      </c:catAx>
      <c:valAx>
        <c:axId val="323874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broj objekata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3238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Zastupljenost objekata gastro ponude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Sheet1!$B$19:$B$21</c:f>
              <c:strCache>
                <c:ptCount val="3"/>
                <c:pt idx="0">
                  <c:v>restorani</c:v>
                </c:pt>
                <c:pt idx="1">
                  <c:v>picerije I brza hrana</c:v>
                </c:pt>
                <c:pt idx="2">
                  <c:v>seoska domacinstva</c:v>
                </c:pt>
              </c:strCache>
            </c:strRef>
          </c:cat>
          <c:val>
            <c:numRef>
              <c:f>Sheet1!$C$19:$C$21</c:f>
              <c:numCache>
                <c:formatCode>General</c:formatCode>
                <c:ptCount val="3"/>
                <c:pt idx="0">
                  <c:v>16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1">
      <a:gsLst>
        <a:gs pos="0">
          <a:schemeClr val="accent4">
            <a:lumMod val="110000"/>
            <a:satMod val="105000"/>
            <a:tint val="67000"/>
          </a:schemeClr>
        </a:gs>
        <a:gs pos="50000">
          <a:schemeClr val="accent4">
            <a:lumMod val="105000"/>
            <a:satMod val="103000"/>
            <a:tint val="73000"/>
          </a:schemeClr>
        </a:gs>
        <a:gs pos="100000">
          <a:schemeClr val="accent4">
            <a:lumMod val="105000"/>
            <a:satMod val="109000"/>
            <a:tint val="81000"/>
          </a:schemeClr>
        </a:gs>
      </a:gsLst>
      <a:lin ang="5400000" scaled="0"/>
    </a:gradFill>
    <a:ln w="6350" cap="flat" cmpd="sng" algn="ctr">
      <a:solidFill>
        <a:schemeClr val="accent4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Objekti zabave u Niksicu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Sheet1!$G$39:$G$42</c:f>
              <c:strCache>
                <c:ptCount val="4"/>
                <c:pt idx="0">
                  <c:v>kafici</c:v>
                </c:pt>
                <c:pt idx="1">
                  <c:v>diskoteke</c:v>
                </c:pt>
                <c:pt idx="2">
                  <c:v>bioskopi</c:v>
                </c:pt>
                <c:pt idx="3">
                  <c:v>shoping centri </c:v>
                </c:pt>
              </c:strCache>
            </c:strRef>
          </c:cat>
          <c:val>
            <c:numRef>
              <c:f>Sheet1!$H$39:$H$42</c:f>
              <c:numCache>
                <c:formatCode>General</c:formatCode>
                <c:ptCount val="4"/>
                <c:pt idx="0">
                  <c:v>40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440320"/>
        <c:axId val="32447104"/>
      </c:barChart>
      <c:catAx>
        <c:axId val="32440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objekti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47104"/>
        <c:crosses val="autoZero"/>
        <c:auto val="1"/>
        <c:lblAlgn val="ctr"/>
        <c:lblOffset val="100"/>
        <c:noMultiLvlLbl val="0"/>
      </c:catAx>
      <c:valAx>
        <c:axId val="3244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broj objekata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4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lumMod val="110000"/>
            <a:satMod val="105000"/>
            <a:tint val="67000"/>
          </a:schemeClr>
        </a:gs>
        <a:gs pos="50000">
          <a:schemeClr val="accent6">
            <a:lumMod val="105000"/>
            <a:satMod val="103000"/>
            <a:tint val="73000"/>
          </a:schemeClr>
        </a:gs>
        <a:gs pos="100000">
          <a:schemeClr val="accent6">
            <a:lumMod val="105000"/>
            <a:satMod val="109000"/>
            <a:tint val="81000"/>
          </a:schemeClr>
        </a:gs>
      </a:gsLst>
      <a:lin ang="5400000" scaled="0"/>
    </a:gradFill>
    <a:ln w="6350" cap="flat" cmpd="sng" algn="ctr">
      <a:solidFill>
        <a:schemeClr val="accent6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Zabava</a:t>
            </a:r>
          </a:p>
        </c:rich>
      </c:tx>
      <c:layout>
        <c:manualLayout>
          <c:xMode val="edge"/>
          <c:yMode val="edge"/>
          <c:x val="0.13171522309711289"/>
          <c:y val="5.09259259259259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0247156605424321E-2"/>
                  <c:y val="-0.2381383056284631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285214348206479E-2"/>
                  <c:y val="4.72360746573345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9689413823267E-3"/>
                  <c:y val="-3.03798483522893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7444006999125112E-2"/>
                  <c:y val="-2.983012540099153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Sheet1!$G$39:$G$42</c:f>
              <c:strCache>
                <c:ptCount val="4"/>
                <c:pt idx="0">
                  <c:v>kafici</c:v>
                </c:pt>
                <c:pt idx="1">
                  <c:v>diskoteke</c:v>
                </c:pt>
                <c:pt idx="2">
                  <c:v>bioskopi</c:v>
                </c:pt>
                <c:pt idx="3">
                  <c:v>shoping centri </c:v>
                </c:pt>
              </c:strCache>
            </c:strRef>
          </c:cat>
          <c:val>
            <c:numRef>
              <c:f>Sheet1!$H$39:$H$42</c:f>
              <c:numCache>
                <c:formatCode>General</c:formatCode>
                <c:ptCount val="4"/>
                <c:pt idx="0">
                  <c:v>40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1">
      <a:gsLst>
        <a:gs pos="0">
          <a:schemeClr val="accent4">
            <a:lumMod val="110000"/>
            <a:satMod val="105000"/>
            <a:tint val="67000"/>
          </a:schemeClr>
        </a:gs>
        <a:gs pos="50000">
          <a:schemeClr val="accent4">
            <a:lumMod val="105000"/>
            <a:satMod val="103000"/>
            <a:tint val="73000"/>
          </a:schemeClr>
        </a:gs>
        <a:gs pos="100000">
          <a:schemeClr val="accent4">
            <a:lumMod val="105000"/>
            <a:satMod val="109000"/>
            <a:tint val="81000"/>
          </a:schemeClr>
        </a:gs>
      </a:gsLst>
      <a:lin ang="5400000" scaled="0"/>
    </a:gradFill>
    <a:ln w="6350" cap="flat" cmpd="sng" algn="ctr">
      <a:solidFill>
        <a:schemeClr val="accent4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Manifestacije po mjesecima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Sheet1!$G$57:$G$68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</c:strCache>
            </c:strRef>
          </c:cat>
          <c:val>
            <c:numRef>
              <c:f>Sheet1!$H$57:$H$68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9488"/>
        <c:axId val="32486528"/>
      </c:lineChart>
      <c:catAx>
        <c:axId val="324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86528"/>
        <c:crosses val="autoZero"/>
        <c:auto val="1"/>
        <c:lblAlgn val="ctr"/>
        <c:lblOffset val="100"/>
        <c:noMultiLvlLbl val="0"/>
      </c:catAx>
      <c:valAx>
        <c:axId val="324865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Zastupljenost  kulturnih manifestacija po mjesecima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3.1130347398012952E-2"/>
                  <c:y val="-1.5870793613991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318679268484"/>
                  <c:y val="1.81042913237204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096387789975364"/>
                  <c:y val="0.144002936778995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272690267513002E-2"/>
                  <c:y val="0.118646763152340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8849935761260862E-2"/>
                  <c:y val="4.67922823350365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384741285368408E-2"/>
                  <c:y val="-6.47482484847944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1363154524908939E-2"/>
                  <c:y val="-9.76464153758809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5461289269374422E-2"/>
                  <c:y val="-1.58850613661967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Sheet1!$G$57:$G$68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</c:strCache>
            </c:strRef>
          </c:cat>
          <c:val>
            <c:numRef>
              <c:f>Sheet1!$H$57:$H$68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2021-11-21T17:28:00Z</dcterms:created>
  <dcterms:modified xsi:type="dcterms:W3CDTF">2021-11-21T17:33:00Z</dcterms:modified>
</cp:coreProperties>
</file>