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52D6C" w14:textId="77777777" w:rsidR="00A542C5" w:rsidRPr="006B12F2" w:rsidRDefault="00A542C5" w:rsidP="00A542C5">
      <w:pPr>
        <w:pStyle w:val="Heading1"/>
      </w:pPr>
    </w:p>
    <w:p w14:paraId="611C496C" w14:textId="77777777" w:rsidR="00A542C5" w:rsidRPr="006B12F2" w:rsidRDefault="00A542C5" w:rsidP="00A542C5">
      <w:pPr>
        <w:pStyle w:val="Heading1"/>
      </w:pPr>
    </w:p>
    <w:p w14:paraId="15398F20" w14:textId="77777777" w:rsidR="00A542C5" w:rsidRPr="006B12F2" w:rsidRDefault="00A542C5" w:rsidP="00A542C5">
      <w:pPr>
        <w:pStyle w:val="Heading1"/>
      </w:pPr>
    </w:p>
    <w:p w14:paraId="5C347EC3" w14:textId="78EB129C" w:rsidR="00A542C5" w:rsidRPr="006B12F2" w:rsidRDefault="003D790A" w:rsidP="00A542C5">
      <w:pPr>
        <w:pStyle w:val="Heading1"/>
      </w:pPr>
      <w:r>
        <w:t>Prilog 5:</w:t>
      </w:r>
    </w:p>
    <w:p w14:paraId="64EFEB42" w14:textId="19398854" w:rsidR="00A542C5" w:rsidRPr="00C07939" w:rsidRDefault="00C07939" w:rsidP="00C07939">
      <w:pPr>
        <w:pBdr>
          <w:bottom w:val="single" w:sz="4" w:space="1" w:color="800000"/>
        </w:pBdr>
        <w:spacing w:before="100" w:after="100" w:line="276" w:lineRule="auto"/>
        <w:ind w:left="142" w:hanging="142"/>
        <w:jc w:val="center"/>
        <w:rPr>
          <w:bCs/>
          <w:color w:val="800000"/>
          <w:sz w:val="38"/>
          <w:szCs w:val="38"/>
          <w:lang w:val="hr-HR"/>
        </w:rPr>
      </w:pPr>
      <w:r w:rsidRPr="00C07939">
        <w:rPr>
          <w:bCs/>
          <w:color w:val="800000"/>
          <w:sz w:val="38"/>
          <w:szCs w:val="38"/>
          <w:lang w:val="hr-HR"/>
        </w:rPr>
        <w:t>Koncept-nota:</w:t>
      </w:r>
    </w:p>
    <w:p w14:paraId="4F2FAD7F" w14:textId="53997E4D" w:rsidR="00C07939" w:rsidRPr="00C07939" w:rsidRDefault="00C07939" w:rsidP="0047778D">
      <w:pPr>
        <w:spacing w:before="100" w:after="100" w:line="276" w:lineRule="auto"/>
        <w:ind w:left="142" w:hanging="142"/>
        <w:jc w:val="center"/>
        <w:rPr>
          <w:bCs/>
          <w:color w:val="800000"/>
          <w:sz w:val="38"/>
          <w:szCs w:val="38"/>
          <w:lang w:val="hr-HR"/>
        </w:rPr>
      </w:pPr>
      <w:r w:rsidRPr="00C07939">
        <w:rPr>
          <w:b/>
          <w:color w:val="800000"/>
          <w:sz w:val="38"/>
          <w:szCs w:val="38"/>
          <w:lang w:val="hr-HR"/>
        </w:rPr>
        <w:t>Osnaživanje nastavničkih kompetencija u studijskim programima za inicijalno obrazovanje nastavnika na Univerzitetu Crne Gore</w:t>
      </w:r>
    </w:p>
    <w:p w14:paraId="63213CCF" w14:textId="77777777" w:rsidR="00A542C5" w:rsidRPr="006B12F2" w:rsidRDefault="00A542C5" w:rsidP="00A542C5">
      <w:pPr>
        <w:spacing w:before="100" w:after="100" w:line="276" w:lineRule="auto"/>
        <w:ind w:left="360"/>
        <w:rPr>
          <w:bCs/>
          <w:color w:val="800000"/>
          <w:sz w:val="38"/>
          <w:szCs w:val="38"/>
          <w:lang w:val="hr-HR"/>
        </w:rPr>
      </w:pPr>
    </w:p>
    <w:p w14:paraId="0D26B861" w14:textId="77777777" w:rsidR="00A542C5" w:rsidRPr="006B12F2" w:rsidRDefault="00A542C5" w:rsidP="00A542C5">
      <w:pPr>
        <w:spacing w:before="100" w:after="100" w:line="276" w:lineRule="auto"/>
        <w:ind w:left="360"/>
        <w:jc w:val="center"/>
        <w:rPr>
          <w:b/>
          <w:color w:val="800000"/>
          <w:sz w:val="38"/>
          <w:szCs w:val="38"/>
          <w:lang w:val="hr-HR"/>
        </w:rPr>
      </w:pPr>
    </w:p>
    <w:p w14:paraId="217C1949" w14:textId="77777777" w:rsidR="00A542C5" w:rsidRPr="006B12F2" w:rsidRDefault="00A542C5" w:rsidP="00A542C5">
      <w:pPr>
        <w:spacing w:before="100" w:after="100" w:line="276" w:lineRule="auto"/>
        <w:jc w:val="both"/>
        <w:rPr>
          <w:rFonts w:ascii="Calibri" w:hAnsi="Calibri"/>
          <w:sz w:val="20"/>
          <w:szCs w:val="20"/>
          <w:lang w:val="hr-HR"/>
        </w:rPr>
      </w:pPr>
    </w:p>
    <w:p w14:paraId="13E86B04" w14:textId="77777777" w:rsidR="00A542C5" w:rsidRPr="006B12F2" w:rsidRDefault="00A542C5" w:rsidP="00A542C5">
      <w:pPr>
        <w:spacing w:line="276" w:lineRule="auto"/>
        <w:rPr>
          <w:rFonts w:ascii="Calibri" w:hAnsi="Calibri"/>
          <w:sz w:val="20"/>
          <w:szCs w:val="20"/>
          <w:lang w:val="hr-HR"/>
        </w:rPr>
      </w:pPr>
    </w:p>
    <w:p w14:paraId="0119443B" w14:textId="77777777" w:rsidR="0047778D" w:rsidRPr="006B12F2" w:rsidRDefault="0047778D" w:rsidP="0047778D">
      <w:pPr>
        <w:rPr>
          <w:rFonts w:ascii="Calibri" w:hAnsi="Calibri"/>
          <w:sz w:val="20"/>
          <w:szCs w:val="20"/>
          <w:lang w:val="hr-HR"/>
        </w:rPr>
      </w:pPr>
    </w:p>
    <w:p w14:paraId="6416477D" w14:textId="77777777" w:rsidR="0047778D" w:rsidRPr="006B12F2" w:rsidRDefault="0047778D" w:rsidP="0047778D">
      <w:pPr>
        <w:rPr>
          <w:rFonts w:ascii="Calibri" w:hAnsi="Calibri"/>
          <w:sz w:val="20"/>
          <w:szCs w:val="20"/>
          <w:lang w:val="hr-HR"/>
        </w:rPr>
      </w:pPr>
    </w:p>
    <w:p w14:paraId="29F1C241" w14:textId="77777777" w:rsidR="0047778D" w:rsidRPr="006B12F2" w:rsidRDefault="0047778D" w:rsidP="0047778D">
      <w:pPr>
        <w:rPr>
          <w:rFonts w:ascii="Calibri" w:hAnsi="Calibri"/>
          <w:sz w:val="20"/>
          <w:szCs w:val="20"/>
          <w:lang w:val="hr-HR"/>
        </w:rPr>
      </w:pPr>
    </w:p>
    <w:p w14:paraId="7507C979" w14:textId="77777777" w:rsidR="0047778D" w:rsidRPr="006B12F2" w:rsidRDefault="0047778D" w:rsidP="0047778D">
      <w:pPr>
        <w:rPr>
          <w:rFonts w:ascii="Calibri" w:hAnsi="Calibri"/>
          <w:sz w:val="20"/>
          <w:szCs w:val="20"/>
          <w:lang w:val="hr-HR"/>
        </w:rPr>
      </w:pPr>
    </w:p>
    <w:p w14:paraId="2F01356E" w14:textId="77777777" w:rsidR="0047778D" w:rsidRPr="006B12F2" w:rsidRDefault="0047778D" w:rsidP="0047778D">
      <w:pPr>
        <w:rPr>
          <w:rFonts w:ascii="Calibri" w:hAnsi="Calibri"/>
          <w:sz w:val="20"/>
          <w:szCs w:val="20"/>
          <w:lang w:val="hr-HR"/>
        </w:rPr>
      </w:pPr>
    </w:p>
    <w:p w14:paraId="275C9E72" w14:textId="77777777" w:rsidR="0047778D" w:rsidRPr="006B12F2" w:rsidRDefault="0047778D" w:rsidP="0047778D">
      <w:pPr>
        <w:rPr>
          <w:rFonts w:ascii="Calibri" w:hAnsi="Calibri"/>
          <w:sz w:val="20"/>
          <w:szCs w:val="20"/>
          <w:lang w:val="hr-HR"/>
        </w:rPr>
      </w:pPr>
    </w:p>
    <w:p w14:paraId="1069D4D1" w14:textId="77777777" w:rsidR="0047778D" w:rsidRPr="006B12F2" w:rsidRDefault="0047778D" w:rsidP="0047778D">
      <w:pPr>
        <w:rPr>
          <w:rFonts w:ascii="Calibri" w:hAnsi="Calibri"/>
          <w:sz w:val="20"/>
          <w:szCs w:val="20"/>
          <w:lang w:val="hr-HR"/>
        </w:rPr>
      </w:pPr>
    </w:p>
    <w:p w14:paraId="3200B6C6" w14:textId="77777777" w:rsidR="0047778D" w:rsidRPr="006B12F2" w:rsidRDefault="0047778D" w:rsidP="0047778D">
      <w:pPr>
        <w:rPr>
          <w:rFonts w:ascii="Calibri" w:hAnsi="Calibri"/>
          <w:sz w:val="20"/>
          <w:szCs w:val="20"/>
          <w:lang w:val="hr-HR"/>
        </w:rPr>
      </w:pPr>
    </w:p>
    <w:p w14:paraId="5B647874" w14:textId="77777777" w:rsidR="0047778D" w:rsidRPr="006B12F2" w:rsidRDefault="0047778D" w:rsidP="0047778D">
      <w:pPr>
        <w:rPr>
          <w:rFonts w:ascii="Calibri" w:hAnsi="Calibri"/>
          <w:sz w:val="20"/>
          <w:szCs w:val="20"/>
          <w:lang w:val="hr-HR"/>
        </w:rPr>
      </w:pPr>
    </w:p>
    <w:p w14:paraId="6B24966D" w14:textId="77777777" w:rsidR="0047778D" w:rsidRPr="006B12F2" w:rsidRDefault="0047778D" w:rsidP="0047778D">
      <w:pPr>
        <w:rPr>
          <w:rFonts w:ascii="Calibri" w:hAnsi="Calibri"/>
          <w:sz w:val="20"/>
          <w:szCs w:val="20"/>
          <w:lang w:val="hr-HR"/>
        </w:rPr>
      </w:pPr>
    </w:p>
    <w:p w14:paraId="5B3F98C6" w14:textId="188A5593" w:rsidR="0047778D" w:rsidRPr="006B12F2" w:rsidRDefault="0047778D" w:rsidP="0047778D">
      <w:pPr>
        <w:tabs>
          <w:tab w:val="left" w:pos="8445"/>
        </w:tabs>
        <w:rPr>
          <w:rFonts w:ascii="Calibri" w:hAnsi="Calibri"/>
          <w:sz w:val="20"/>
          <w:szCs w:val="20"/>
          <w:lang w:val="hr-HR"/>
        </w:rPr>
      </w:pPr>
      <w:r w:rsidRPr="006B12F2">
        <w:rPr>
          <w:rFonts w:ascii="Calibri" w:hAnsi="Calibri"/>
          <w:sz w:val="20"/>
          <w:szCs w:val="20"/>
          <w:lang w:val="hr-HR"/>
        </w:rPr>
        <w:tab/>
      </w:r>
    </w:p>
    <w:p w14:paraId="30E2DA44" w14:textId="0E01B8A7" w:rsidR="0047778D" w:rsidRPr="006B12F2" w:rsidRDefault="0047778D" w:rsidP="0047778D">
      <w:pPr>
        <w:tabs>
          <w:tab w:val="left" w:pos="8445"/>
        </w:tabs>
        <w:rPr>
          <w:rFonts w:ascii="Calibri" w:hAnsi="Calibri"/>
          <w:sz w:val="20"/>
          <w:szCs w:val="20"/>
          <w:lang w:val="hr-HR"/>
        </w:rPr>
        <w:sectPr w:rsidR="0047778D" w:rsidRPr="006B12F2" w:rsidSect="00A542C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10" w:h="16840"/>
          <w:pgMar w:top="2835" w:right="907" w:bottom="2155" w:left="907" w:header="709" w:footer="829" w:gutter="0"/>
          <w:cols w:space="708"/>
          <w:docGrid w:linePitch="299"/>
        </w:sectPr>
      </w:pPr>
      <w:r w:rsidRPr="006B12F2">
        <w:rPr>
          <w:noProof/>
          <w:lang w:val="hr-HR"/>
        </w:rPr>
        <w:drawing>
          <wp:anchor distT="0" distB="0" distL="0" distR="0" simplePos="0" relativeHeight="251659264" behindDoc="1" locked="0" layoutInCell="1" allowOverlap="1" wp14:anchorId="530A7A83" wp14:editId="30349BA5">
            <wp:simplePos x="0" y="0"/>
            <wp:positionH relativeFrom="page">
              <wp:posOffset>5709920</wp:posOffset>
            </wp:positionH>
            <wp:positionV relativeFrom="page">
              <wp:posOffset>9625330</wp:posOffset>
            </wp:positionV>
            <wp:extent cx="1350263" cy="313931"/>
            <wp:effectExtent l="0" t="0" r="2540" b="0"/>
            <wp:wrapNone/>
            <wp:docPr id="2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0263" cy="3139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12F2">
        <w:rPr>
          <w:rFonts w:ascii="Calibri" w:hAnsi="Calibri"/>
          <w:sz w:val="20"/>
          <w:szCs w:val="20"/>
          <w:lang w:val="hr-HR"/>
        </w:rPr>
        <w:tab/>
      </w:r>
    </w:p>
    <w:p w14:paraId="08E31B37" w14:textId="77777777" w:rsidR="006B12F2" w:rsidRPr="006B12F2" w:rsidRDefault="006B12F2" w:rsidP="006B12F2">
      <w:pPr>
        <w:jc w:val="both"/>
        <w:rPr>
          <w:b/>
          <w:color w:val="800000"/>
          <w:sz w:val="24"/>
          <w:szCs w:val="24"/>
          <w:lang w:val="hr-HR"/>
        </w:rPr>
      </w:pPr>
      <w:r w:rsidRPr="006B12F2">
        <w:rPr>
          <w:b/>
          <w:color w:val="800000"/>
          <w:sz w:val="24"/>
          <w:szCs w:val="24"/>
          <w:lang w:val="hr-HR"/>
        </w:rPr>
        <w:lastRenderedPageBreak/>
        <w:t>Projekt "Integracija ključnih kompetencija u obrazovni sistem Crne Gore"</w:t>
      </w:r>
    </w:p>
    <w:p w14:paraId="0B97BB11" w14:textId="77777777" w:rsidR="006B12F2" w:rsidRPr="006B12F2" w:rsidRDefault="006B12F2" w:rsidP="006B12F2">
      <w:pPr>
        <w:jc w:val="both"/>
        <w:rPr>
          <w:bCs/>
          <w:lang w:val="hr-HR"/>
        </w:rPr>
      </w:pPr>
      <w:proofErr w:type="spellStart"/>
      <w:r w:rsidRPr="006B12F2">
        <w:rPr>
          <w:bCs/>
          <w:lang w:val="hr-HR"/>
        </w:rPr>
        <w:t>kofinansira</w:t>
      </w:r>
      <w:proofErr w:type="spellEnd"/>
      <w:r w:rsidRPr="006B12F2">
        <w:rPr>
          <w:bCs/>
          <w:lang w:val="hr-HR"/>
        </w:rPr>
        <w:t xml:space="preserve"> Evropska unija i Vlada Crne Gore, sprovodi EPRD </w:t>
      </w:r>
      <w:proofErr w:type="spellStart"/>
      <w:r w:rsidRPr="006B12F2">
        <w:rPr>
          <w:bCs/>
          <w:lang w:val="hr-HR"/>
        </w:rPr>
        <w:t>konzorcijum</w:t>
      </w:r>
      <w:proofErr w:type="spellEnd"/>
    </w:p>
    <w:p w14:paraId="56F0237C" w14:textId="77777777" w:rsidR="006B12F2" w:rsidRPr="006B12F2" w:rsidRDefault="006B12F2" w:rsidP="006B12F2">
      <w:pPr>
        <w:jc w:val="both"/>
        <w:rPr>
          <w:b/>
          <w:sz w:val="20"/>
          <w:szCs w:val="20"/>
          <w:lang w:val="hr-HR"/>
        </w:rPr>
      </w:pPr>
    </w:p>
    <w:p w14:paraId="558E419C" w14:textId="32FD6E2E" w:rsidR="006B12F2" w:rsidRPr="006B12F2" w:rsidRDefault="006B12F2" w:rsidP="006B12F2">
      <w:pPr>
        <w:jc w:val="both"/>
        <w:rPr>
          <w:bCs/>
          <w:sz w:val="20"/>
          <w:szCs w:val="20"/>
          <w:lang w:val="hr-HR"/>
        </w:rPr>
      </w:pPr>
      <w:r w:rsidRPr="006B12F2">
        <w:rPr>
          <w:b/>
          <w:color w:val="800000"/>
          <w:sz w:val="20"/>
          <w:szCs w:val="20"/>
          <w:lang w:val="hr-HR"/>
        </w:rPr>
        <w:t>Verzija:</w:t>
      </w:r>
      <w:r w:rsidRPr="006B12F2">
        <w:rPr>
          <w:b/>
          <w:sz w:val="20"/>
          <w:szCs w:val="20"/>
          <w:lang w:val="hr-HR"/>
        </w:rPr>
        <w:t xml:space="preserve"> </w:t>
      </w:r>
      <w:r w:rsidRPr="006B12F2">
        <w:rPr>
          <w:bCs/>
          <w:sz w:val="20"/>
          <w:szCs w:val="20"/>
          <w:lang w:val="hr-HR"/>
        </w:rPr>
        <w:t>31.8.2020.</w:t>
      </w:r>
    </w:p>
    <w:p w14:paraId="35FDFA72" w14:textId="6952326E" w:rsidR="00E45125" w:rsidRPr="006B12F2" w:rsidRDefault="00E45125" w:rsidP="00A542C5">
      <w:pPr>
        <w:jc w:val="both"/>
        <w:rPr>
          <w:bCs/>
          <w:sz w:val="18"/>
          <w:szCs w:val="18"/>
          <w:lang w:val="hr-HR"/>
        </w:rPr>
      </w:pPr>
    </w:p>
    <w:sdt>
      <w:sdtPr>
        <w:rPr>
          <w:rFonts w:ascii="Roboto" w:eastAsia="Roboto" w:hAnsi="Roboto" w:cs="Roboto"/>
          <w:b w:val="0"/>
          <w:bCs w:val="0"/>
          <w:color w:val="auto"/>
          <w:sz w:val="22"/>
          <w:szCs w:val="22"/>
          <w:lang w:val="hr-HR" w:eastAsia="pl-PL" w:bidi="pl-PL"/>
        </w:rPr>
        <w:id w:val="-38933816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294FCA4" w14:textId="365EA0B3" w:rsidR="00A542C5" w:rsidRPr="006B12F2" w:rsidRDefault="006B12F2" w:rsidP="00A542C5">
          <w:pPr>
            <w:pStyle w:val="TOCHeading"/>
            <w:rPr>
              <w:rFonts w:ascii="Arial" w:hAnsi="Arial" w:cs="Arial"/>
              <w:color w:val="800000"/>
              <w:lang w:val="hr-HR"/>
            </w:rPr>
          </w:pPr>
          <w:r w:rsidRPr="006B12F2">
            <w:rPr>
              <w:rFonts w:ascii="Arial" w:hAnsi="Arial" w:cs="Arial"/>
              <w:color w:val="800000"/>
              <w:lang w:val="hr-HR"/>
            </w:rPr>
            <w:t>Sadržaj</w:t>
          </w:r>
        </w:p>
        <w:p w14:paraId="05005CB1" w14:textId="1E347C83" w:rsidR="00C07939" w:rsidRDefault="00A542C5">
          <w:pPr>
            <w:pStyle w:val="TOC1"/>
            <w:tabs>
              <w:tab w:val="left" w:pos="720"/>
              <w:tab w:val="right" w:leader="dot" w:pos="10086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lang w:val="en-US" w:eastAsia="en-US" w:bidi="ar-SA"/>
            </w:rPr>
          </w:pPr>
          <w:r w:rsidRPr="006B12F2">
            <w:rPr>
              <w:rFonts w:ascii="Arial" w:hAnsi="Arial" w:cs="Arial"/>
              <w:b w:val="0"/>
              <w:bCs w:val="0"/>
              <w:sz w:val="20"/>
              <w:szCs w:val="20"/>
              <w:lang w:val="hr-HR"/>
            </w:rPr>
            <w:fldChar w:fldCharType="begin"/>
          </w:r>
          <w:r w:rsidRPr="006B12F2">
            <w:rPr>
              <w:rFonts w:ascii="Arial" w:hAnsi="Arial" w:cs="Arial"/>
              <w:b w:val="0"/>
              <w:bCs w:val="0"/>
              <w:sz w:val="20"/>
              <w:szCs w:val="20"/>
              <w:lang w:val="hr-HR"/>
            </w:rPr>
            <w:instrText xml:space="preserve"> TOC \o "1-3" \h \z \u </w:instrText>
          </w:r>
          <w:r w:rsidRPr="006B12F2">
            <w:rPr>
              <w:rFonts w:ascii="Arial" w:hAnsi="Arial" w:cs="Arial"/>
              <w:b w:val="0"/>
              <w:bCs w:val="0"/>
              <w:sz w:val="20"/>
              <w:szCs w:val="20"/>
              <w:lang w:val="hr-HR"/>
            </w:rPr>
            <w:fldChar w:fldCharType="separate"/>
          </w:r>
          <w:hyperlink w:anchor="_Toc52728926" w:history="1">
            <w:r w:rsidR="00C07939" w:rsidRPr="003F1518">
              <w:rPr>
                <w:rStyle w:val="Hyperlink"/>
                <w:rFonts w:ascii="Arial" w:hAnsi="Arial" w:cs="Arial"/>
                <w:noProof/>
              </w:rPr>
              <w:t>1.</w:t>
            </w:r>
            <w:r w:rsidR="00C0793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lang w:val="en-US" w:eastAsia="en-US" w:bidi="ar-SA"/>
              </w:rPr>
              <w:tab/>
            </w:r>
            <w:r w:rsidR="00C07939" w:rsidRPr="003F1518">
              <w:rPr>
                <w:rStyle w:val="Hyperlink"/>
                <w:rFonts w:ascii="Arial" w:hAnsi="Arial" w:cs="Arial"/>
                <w:noProof/>
              </w:rPr>
              <w:t>Kratak opis problema i diskusija</w:t>
            </w:r>
            <w:r w:rsidR="00C07939">
              <w:rPr>
                <w:noProof/>
                <w:webHidden/>
              </w:rPr>
              <w:tab/>
            </w:r>
            <w:r w:rsidR="00C07939">
              <w:rPr>
                <w:noProof/>
                <w:webHidden/>
              </w:rPr>
              <w:fldChar w:fldCharType="begin"/>
            </w:r>
            <w:r w:rsidR="00C07939">
              <w:rPr>
                <w:noProof/>
                <w:webHidden/>
              </w:rPr>
              <w:instrText xml:space="preserve"> PAGEREF _Toc52728926 \h </w:instrText>
            </w:r>
            <w:r w:rsidR="00C07939">
              <w:rPr>
                <w:noProof/>
                <w:webHidden/>
              </w:rPr>
            </w:r>
            <w:r w:rsidR="00C07939">
              <w:rPr>
                <w:noProof/>
                <w:webHidden/>
              </w:rPr>
              <w:fldChar w:fldCharType="separate"/>
            </w:r>
            <w:r w:rsidR="003D790A">
              <w:rPr>
                <w:noProof/>
                <w:webHidden/>
              </w:rPr>
              <w:t>3</w:t>
            </w:r>
            <w:r w:rsidR="00C07939">
              <w:rPr>
                <w:noProof/>
                <w:webHidden/>
              </w:rPr>
              <w:fldChar w:fldCharType="end"/>
            </w:r>
          </w:hyperlink>
        </w:p>
        <w:p w14:paraId="79F094B1" w14:textId="46ED4815" w:rsidR="00C07939" w:rsidRDefault="005D10E4">
          <w:pPr>
            <w:pStyle w:val="TOC1"/>
            <w:tabs>
              <w:tab w:val="left" w:pos="720"/>
              <w:tab w:val="right" w:leader="dot" w:pos="10086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lang w:val="en-US" w:eastAsia="en-US" w:bidi="ar-SA"/>
            </w:rPr>
          </w:pPr>
          <w:hyperlink w:anchor="_Toc52728927" w:history="1">
            <w:r w:rsidR="00C07939" w:rsidRPr="003F1518">
              <w:rPr>
                <w:rStyle w:val="Hyperlink"/>
                <w:rFonts w:ascii="Arial" w:hAnsi="Arial" w:cs="Arial"/>
                <w:noProof/>
              </w:rPr>
              <w:t>2.</w:t>
            </w:r>
            <w:r w:rsidR="00C0793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lang w:val="en-US" w:eastAsia="en-US" w:bidi="ar-SA"/>
              </w:rPr>
              <w:tab/>
            </w:r>
            <w:r w:rsidR="00C07939" w:rsidRPr="003F1518">
              <w:rPr>
                <w:rStyle w:val="Hyperlink"/>
                <w:rFonts w:ascii="Arial" w:hAnsi="Arial" w:cs="Arial"/>
                <w:noProof/>
              </w:rPr>
              <w:t>Projekat Integracija ključnih kompetencija u obrazovni sistem Crne Gore</w:t>
            </w:r>
            <w:r w:rsidR="00C07939">
              <w:rPr>
                <w:noProof/>
                <w:webHidden/>
              </w:rPr>
              <w:tab/>
            </w:r>
            <w:r w:rsidR="00C07939">
              <w:rPr>
                <w:noProof/>
                <w:webHidden/>
              </w:rPr>
              <w:fldChar w:fldCharType="begin"/>
            </w:r>
            <w:r w:rsidR="00C07939">
              <w:rPr>
                <w:noProof/>
                <w:webHidden/>
              </w:rPr>
              <w:instrText xml:space="preserve"> PAGEREF _Toc52728927 \h </w:instrText>
            </w:r>
            <w:r w:rsidR="00C07939">
              <w:rPr>
                <w:noProof/>
                <w:webHidden/>
              </w:rPr>
            </w:r>
            <w:r w:rsidR="00C07939">
              <w:rPr>
                <w:noProof/>
                <w:webHidden/>
              </w:rPr>
              <w:fldChar w:fldCharType="separate"/>
            </w:r>
            <w:r w:rsidR="003D790A">
              <w:rPr>
                <w:noProof/>
                <w:webHidden/>
              </w:rPr>
              <w:t>5</w:t>
            </w:r>
            <w:r w:rsidR="00C07939">
              <w:rPr>
                <w:noProof/>
                <w:webHidden/>
              </w:rPr>
              <w:fldChar w:fldCharType="end"/>
            </w:r>
          </w:hyperlink>
        </w:p>
        <w:p w14:paraId="1D853274" w14:textId="1066DC56" w:rsidR="00C07939" w:rsidRDefault="005D10E4">
          <w:pPr>
            <w:pStyle w:val="TOC1"/>
            <w:tabs>
              <w:tab w:val="left" w:pos="720"/>
              <w:tab w:val="right" w:leader="dot" w:pos="10086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lang w:val="en-US" w:eastAsia="en-US" w:bidi="ar-SA"/>
            </w:rPr>
          </w:pPr>
          <w:hyperlink w:anchor="_Toc52728928" w:history="1">
            <w:r w:rsidR="00C07939" w:rsidRPr="003F1518">
              <w:rPr>
                <w:rStyle w:val="Hyperlink"/>
                <w:rFonts w:ascii="Arial" w:hAnsi="Arial" w:cs="Arial"/>
                <w:noProof/>
              </w:rPr>
              <w:t>3.</w:t>
            </w:r>
            <w:r w:rsidR="00C0793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lang w:val="en-US" w:eastAsia="en-US" w:bidi="ar-SA"/>
              </w:rPr>
              <w:tab/>
            </w:r>
            <w:r w:rsidR="00C07939" w:rsidRPr="003F1518">
              <w:rPr>
                <w:rStyle w:val="Hyperlink"/>
                <w:rFonts w:ascii="Arial" w:hAnsi="Arial" w:cs="Arial"/>
                <w:noProof/>
              </w:rPr>
              <w:t>Prijedlog aktivnosti</w:t>
            </w:r>
            <w:r w:rsidR="00C07939">
              <w:rPr>
                <w:noProof/>
                <w:webHidden/>
              </w:rPr>
              <w:tab/>
            </w:r>
            <w:r w:rsidR="00C07939">
              <w:rPr>
                <w:noProof/>
                <w:webHidden/>
              </w:rPr>
              <w:fldChar w:fldCharType="begin"/>
            </w:r>
            <w:r w:rsidR="00C07939">
              <w:rPr>
                <w:noProof/>
                <w:webHidden/>
              </w:rPr>
              <w:instrText xml:space="preserve"> PAGEREF _Toc52728928 \h </w:instrText>
            </w:r>
            <w:r w:rsidR="00C07939">
              <w:rPr>
                <w:noProof/>
                <w:webHidden/>
              </w:rPr>
            </w:r>
            <w:r w:rsidR="00C07939">
              <w:rPr>
                <w:noProof/>
                <w:webHidden/>
              </w:rPr>
              <w:fldChar w:fldCharType="separate"/>
            </w:r>
            <w:r w:rsidR="003D790A">
              <w:rPr>
                <w:noProof/>
                <w:webHidden/>
              </w:rPr>
              <w:t>6</w:t>
            </w:r>
            <w:r w:rsidR="00C07939">
              <w:rPr>
                <w:noProof/>
                <w:webHidden/>
              </w:rPr>
              <w:fldChar w:fldCharType="end"/>
            </w:r>
          </w:hyperlink>
        </w:p>
        <w:p w14:paraId="756B10D5" w14:textId="4065374F" w:rsidR="00A542C5" w:rsidRPr="006B12F2" w:rsidRDefault="00A542C5" w:rsidP="00A542C5">
          <w:pPr>
            <w:rPr>
              <w:lang w:val="hr-HR"/>
            </w:rPr>
          </w:pPr>
          <w:r w:rsidRPr="006B12F2">
            <w:rPr>
              <w:rFonts w:ascii="Arial" w:hAnsi="Arial" w:cs="Arial"/>
              <w:b/>
              <w:bCs/>
              <w:noProof/>
              <w:sz w:val="20"/>
              <w:szCs w:val="20"/>
              <w:lang w:val="hr-HR"/>
            </w:rPr>
            <w:fldChar w:fldCharType="end"/>
          </w:r>
        </w:p>
      </w:sdtContent>
    </w:sdt>
    <w:p w14:paraId="384A8260" w14:textId="77777777" w:rsidR="00C07939" w:rsidRDefault="00C07939" w:rsidP="00A542C5">
      <w:pPr>
        <w:rPr>
          <w:bCs/>
          <w:sz w:val="24"/>
          <w:szCs w:val="24"/>
          <w:lang w:val="hr-HR"/>
        </w:rPr>
      </w:pPr>
    </w:p>
    <w:p w14:paraId="2F44551D" w14:textId="77777777" w:rsidR="00C07939" w:rsidRDefault="00C07939" w:rsidP="00A542C5">
      <w:pPr>
        <w:rPr>
          <w:bCs/>
          <w:sz w:val="24"/>
          <w:szCs w:val="24"/>
          <w:lang w:val="hr-HR"/>
        </w:rPr>
      </w:pPr>
    </w:p>
    <w:p w14:paraId="76930E0A" w14:textId="7F4CE30F" w:rsidR="00C07939" w:rsidRDefault="00C07939" w:rsidP="00A542C5">
      <w:pPr>
        <w:rPr>
          <w:bCs/>
          <w:sz w:val="24"/>
          <w:szCs w:val="24"/>
          <w:lang w:val="hr-HR"/>
        </w:rPr>
      </w:pPr>
    </w:p>
    <w:p w14:paraId="43AFA7E4" w14:textId="21C660B3" w:rsidR="00C07939" w:rsidRDefault="00C07939" w:rsidP="00A542C5">
      <w:pPr>
        <w:rPr>
          <w:bCs/>
          <w:sz w:val="24"/>
          <w:szCs w:val="24"/>
          <w:lang w:val="hr-HR"/>
        </w:rPr>
      </w:pPr>
    </w:p>
    <w:p w14:paraId="527882C0" w14:textId="743CE3C7" w:rsidR="00C07939" w:rsidRDefault="00C07939" w:rsidP="00A542C5">
      <w:pPr>
        <w:rPr>
          <w:bCs/>
          <w:sz w:val="24"/>
          <w:szCs w:val="24"/>
          <w:lang w:val="hr-HR"/>
        </w:rPr>
      </w:pPr>
    </w:p>
    <w:p w14:paraId="5EFB35F0" w14:textId="665120B6" w:rsidR="00C07939" w:rsidRDefault="00C07939" w:rsidP="00A542C5">
      <w:pPr>
        <w:rPr>
          <w:bCs/>
          <w:sz w:val="24"/>
          <w:szCs w:val="24"/>
          <w:lang w:val="hr-HR"/>
        </w:rPr>
      </w:pPr>
    </w:p>
    <w:p w14:paraId="5160CEDE" w14:textId="09ECF1F2" w:rsidR="00C07939" w:rsidRDefault="00C07939" w:rsidP="00A542C5">
      <w:pPr>
        <w:rPr>
          <w:bCs/>
          <w:sz w:val="24"/>
          <w:szCs w:val="24"/>
          <w:lang w:val="hr-HR"/>
        </w:rPr>
      </w:pPr>
    </w:p>
    <w:p w14:paraId="620A757A" w14:textId="4649BBBC" w:rsidR="00C07939" w:rsidRDefault="00C07939" w:rsidP="00A542C5">
      <w:pPr>
        <w:rPr>
          <w:bCs/>
          <w:sz w:val="24"/>
          <w:szCs w:val="24"/>
          <w:lang w:val="hr-HR"/>
        </w:rPr>
      </w:pPr>
    </w:p>
    <w:p w14:paraId="15B40327" w14:textId="35E99934" w:rsidR="00C07939" w:rsidRDefault="00C07939" w:rsidP="00A542C5">
      <w:pPr>
        <w:rPr>
          <w:bCs/>
          <w:sz w:val="24"/>
          <w:szCs w:val="24"/>
          <w:lang w:val="hr-HR"/>
        </w:rPr>
      </w:pPr>
    </w:p>
    <w:p w14:paraId="5DA735E8" w14:textId="72CBF333" w:rsidR="00C07939" w:rsidRDefault="00C07939" w:rsidP="00A542C5">
      <w:pPr>
        <w:rPr>
          <w:bCs/>
          <w:sz w:val="24"/>
          <w:szCs w:val="24"/>
          <w:lang w:val="hr-HR"/>
        </w:rPr>
      </w:pPr>
    </w:p>
    <w:p w14:paraId="153DD747" w14:textId="00787A11" w:rsidR="00C07939" w:rsidRDefault="00C07939" w:rsidP="00A542C5">
      <w:pPr>
        <w:rPr>
          <w:bCs/>
          <w:sz w:val="24"/>
          <w:szCs w:val="24"/>
          <w:lang w:val="hr-HR"/>
        </w:rPr>
      </w:pPr>
    </w:p>
    <w:p w14:paraId="28EF854A" w14:textId="07D93AAF" w:rsidR="00C07939" w:rsidRDefault="00C07939" w:rsidP="00A542C5">
      <w:pPr>
        <w:rPr>
          <w:bCs/>
          <w:sz w:val="24"/>
          <w:szCs w:val="24"/>
          <w:lang w:val="hr-HR"/>
        </w:rPr>
      </w:pPr>
    </w:p>
    <w:p w14:paraId="33ACFF8A" w14:textId="0ED4168F" w:rsidR="00C07939" w:rsidRDefault="00C07939" w:rsidP="00A542C5">
      <w:pPr>
        <w:rPr>
          <w:bCs/>
          <w:sz w:val="24"/>
          <w:szCs w:val="24"/>
          <w:lang w:val="hr-HR"/>
        </w:rPr>
      </w:pPr>
    </w:p>
    <w:p w14:paraId="7972175E" w14:textId="28F7682C" w:rsidR="00C07939" w:rsidRDefault="00C07939" w:rsidP="00A542C5">
      <w:pPr>
        <w:rPr>
          <w:bCs/>
          <w:sz w:val="24"/>
          <w:szCs w:val="24"/>
          <w:lang w:val="hr-HR"/>
        </w:rPr>
      </w:pPr>
    </w:p>
    <w:p w14:paraId="36643B53" w14:textId="3E44A2BD" w:rsidR="00C07939" w:rsidRDefault="00C07939" w:rsidP="00A542C5">
      <w:pPr>
        <w:rPr>
          <w:bCs/>
          <w:sz w:val="24"/>
          <w:szCs w:val="24"/>
          <w:lang w:val="hr-HR"/>
        </w:rPr>
      </w:pPr>
    </w:p>
    <w:p w14:paraId="6A24005A" w14:textId="022E78C8" w:rsidR="00C07939" w:rsidRDefault="00C07939" w:rsidP="00A542C5">
      <w:pPr>
        <w:rPr>
          <w:bCs/>
          <w:sz w:val="24"/>
          <w:szCs w:val="24"/>
          <w:lang w:val="hr-HR"/>
        </w:rPr>
      </w:pPr>
    </w:p>
    <w:p w14:paraId="4BDC3C57" w14:textId="5B03AB79" w:rsidR="00C07939" w:rsidRDefault="00C07939" w:rsidP="00A542C5">
      <w:pPr>
        <w:rPr>
          <w:bCs/>
          <w:sz w:val="24"/>
          <w:szCs w:val="24"/>
          <w:lang w:val="hr-HR"/>
        </w:rPr>
      </w:pPr>
    </w:p>
    <w:p w14:paraId="36D637F2" w14:textId="532D0379" w:rsidR="00C07939" w:rsidRDefault="00C07939" w:rsidP="00A542C5">
      <w:pPr>
        <w:rPr>
          <w:bCs/>
          <w:sz w:val="24"/>
          <w:szCs w:val="24"/>
          <w:lang w:val="hr-HR"/>
        </w:rPr>
      </w:pPr>
    </w:p>
    <w:p w14:paraId="00EB1A85" w14:textId="56650076" w:rsidR="00C07939" w:rsidRDefault="00C07939" w:rsidP="00A542C5">
      <w:pPr>
        <w:rPr>
          <w:bCs/>
          <w:sz w:val="24"/>
          <w:szCs w:val="24"/>
          <w:lang w:val="hr-HR"/>
        </w:rPr>
      </w:pPr>
    </w:p>
    <w:p w14:paraId="7BCF85C8" w14:textId="634C49EF" w:rsidR="00C07939" w:rsidRDefault="00C07939" w:rsidP="00A542C5">
      <w:pPr>
        <w:rPr>
          <w:bCs/>
          <w:sz w:val="24"/>
          <w:szCs w:val="24"/>
          <w:lang w:val="hr-HR"/>
        </w:rPr>
      </w:pPr>
    </w:p>
    <w:p w14:paraId="00BD2E78" w14:textId="74AC607F" w:rsidR="00C07939" w:rsidRDefault="00C07939" w:rsidP="00A542C5">
      <w:pPr>
        <w:rPr>
          <w:bCs/>
          <w:sz w:val="24"/>
          <w:szCs w:val="24"/>
          <w:lang w:val="hr-HR"/>
        </w:rPr>
      </w:pPr>
    </w:p>
    <w:p w14:paraId="13FEDD1B" w14:textId="3375024B" w:rsidR="00C07939" w:rsidRDefault="00C07939" w:rsidP="00A542C5">
      <w:pPr>
        <w:rPr>
          <w:bCs/>
          <w:sz w:val="24"/>
          <w:szCs w:val="24"/>
          <w:lang w:val="hr-HR"/>
        </w:rPr>
      </w:pPr>
    </w:p>
    <w:p w14:paraId="2AE5B48A" w14:textId="494BDBF0" w:rsidR="00C07939" w:rsidRDefault="00C07939" w:rsidP="00A542C5">
      <w:pPr>
        <w:rPr>
          <w:bCs/>
          <w:sz w:val="24"/>
          <w:szCs w:val="24"/>
          <w:lang w:val="hr-HR"/>
        </w:rPr>
      </w:pPr>
    </w:p>
    <w:p w14:paraId="7E415CCD" w14:textId="2C9223C7" w:rsidR="00C07939" w:rsidRDefault="00C07939" w:rsidP="00A542C5">
      <w:pPr>
        <w:rPr>
          <w:bCs/>
          <w:sz w:val="24"/>
          <w:szCs w:val="24"/>
          <w:lang w:val="hr-HR"/>
        </w:rPr>
      </w:pPr>
    </w:p>
    <w:p w14:paraId="7D735425" w14:textId="4C6FFAE3" w:rsidR="00C07939" w:rsidRDefault="00C07939" w:rsidP="00A542C5">
      <w:pPr>
        <w:rPr>
          <w:bCs/>
          <w:sz w:val="24"/>
          <w:szCs w:val="24"/>
          <w:lang w:val="hr-HR"/>
        </w:rPr>
      </w:pPr>
    </w:p>
    <w:p w14:paraId="7EF8C295" w14:textId="284DD274" w:rsidR="00C07939" w:rsidRDefault="00C07939" w:rsidP="00A542C5">
      <w:pPr>
        <w:rPr>
          <w:bCs/>
          <w:sz w:val="24"/>
          <w:szCs w:val="24"/>
          <w:lang w:val="hr-HR"/>
        </w:rPr>
      </w:pPr>
    </w:p>
    <w:p w14:paraId="4C8F7D96" w14:textId="37D1CE57" w:rsidR="00C07939" w:rsidRDefault="00C07939" w:rsidP="00A542C5">
      <w:pPr>
        <w:rPr>
          <w:bCs/>
          <w:sz w:val="24"/>
          <w:szCs w:val="24"/>
          <w:lang w:val="hr-HR"/>
        </w:rPr>
      </w:pPr>
    </w:p>
    <w:p w14:paraId="06E5BA33" w14:textId="3624DACB" w:rsidR="00C07939" w:rsidRDefault="00C07939" w:rsidP="00A542C5">
      <w:pPr>
        <w:rPr>
          <w:bCs/>
          <w:sz w:val="24"/>
          <w:szCs w:val="24"/>
          <w:lang w:val="hr-HR"/>
        </w:rPr>
      </w:pPr>
    </w:p>
    <w:p w14:paraId="3EEA744A" w14:textId="437C0CDB" w:rsidR="00C07939" w:rsidRDefault="00C07939" w:rsidP="00A542C5">
      <w:pPr>
        <w:rPr>
          <w:bCs/>
          <w:sz w:val="24"/>
          <w:szCs w:val="24"/>
          <w:lang w:val="hr-HR"/>
        </w:rPr>
      </w:pPr>
    </w:p>
    <w:p w14:paraId="7DF845EB" w14:textId="77777777" w:rsidR="00C07939" w:rsidRDefault="00C07939" w:rsidP="00A542C5">
      <w:pPr>
        <w:rPr>
          <w:bCs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6"/>
      </w:tblGrid>
      <w:tr w:rsidR="00C07939" w:rsidRPr="006B12F2" w14:paraId="11C2BC13" w14:textId="77777777" w:rsidTr="002C18FE">
        <w:tc>
          <w:tcPr>
            <w:tcW w:w="1008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28E7CF7" w14:textId="77777777" w:rsidR="00C07939" w:rsidRPr="006B12F2" w:rsidRDefault="00C07939" w:rsidP="002C18FE">
            <w:pPr>
              <w:pStyle w:val="ListParagraph"/>
              <w:numPr>
                <w:ilvl w:val="0"/>
                <w:numId w:val="1"/>
              </w:numPr>
              <w:jc w:val="both"/>
              <w:rPr>
                <w:bCs/>
                <w:color w:val="800000"/>
                <w:sz w:val="20"/>
                <w:szCs w:val="20"/>
                <w:lang w:val="hr-HR"/>
              </w:rPr>
            </w:pPr>
            <w:r w:rsidRPr="006B12F2">
              <w:rPr>
                <w:bCs/>
                <w:i/>
                <w:iCs/>
                <w:sz w:val="20"/>
                <w:szCs w:val="20"/>
                <w:lang w:val="hr-HR"/>
              </w:rPr>
              <w:t xml:space="preserve">Sadržaj ove publikacije isključiva je odgovornost EPRD </w:t>
            </w:r>
            <w:proofErr w:type="spellStart"/>
            <w:r w:rsidRPr="006B12F2">
              <w:rPr>
                <w:bCs/>
                <w:i/>
                <w:iCs/>
                <w:sz w:val="20"/>
                <w:szCs w:val="20"/>
                <w:lang w:val="hr-HR"/>
              </w:rPr>
              <w:t>konzorcijuma</w:t>
            </w:r>
            <w:proofErr w:type="spellEnd"/>
            <w:r w:rsidRPr="006B12F2">
              <w:rPr>
                <w:bCs/>
                <w:i/>
                <w:iCs/>
                <w:sz w:val="20"/>
                <w:szCs w:val="20"/>
                <w:lang w:val="hr-HR"/>
              </w:rPr>
              <w:t xml:space="preserve"> i ne predstavlja stavove Evropske unije.</w:t>
            </w:r>
          </w:p>
          <w:p w14:paraId="2F5CAF6D" w14:textId="77777777" w:rsidR="00C07939" w:rsidRPr="006B12F2" w:rsidRDefault="00C07939" w:rsidP="002C18FE">
            <w:pPr>
              <w:pStyle w:val="ListParagraph"/>
              <w:numPr>
                <w:ilvl w:val="0"/>
                <w:numId w:val="1"/>
              </w:numPr>
              <w:jc w:val="both"/>
              <w:rPr>
                <w:bCs/>
                <w:color w:val="800000"/>
                <w:sz w:val="20"/>
                <w:szCs w:val="20"/>
                <w:lang w:val="hr-HR"/>
              </w:rPr>
            </w:pPr>
            <w:r w:rsidRPr="006B12F2">
              <w:rPr>
                <w:bCs/>
                <w:i/>
                <w:iCs/>
                <w:sz w:val="20"/>
                <w:szCs w:val="20"/>
                <w:lang w:val="hr-HR"/>
              </w:rPr>
              <w:t>Rečenice u ovoj publikaciji napisane u jednome rodu jednako se odnose na muški i ženski pol.</w:t>
            </w:r>
          </w:p>
        </w:tc>
      </w:tr>
    </w:tbl>
    <w:p w14:paraId="76B5D65A" w14:textId="77777777" w:rsidR="00C07939" w:rsidRPr="006B12F2" w:rsidRDefault="00C07939" w:rsidP="00C07939">
      <w:pPr>
        <w:spacing w:line="276" w:lineRule="auto"/>
        <w:jc w:val="both"/>
        <w:rPr>
          <w:b/>
          <w:color w:val="800000"/>
          <w:sz w:val="24"/>
          <w:szCs w:val="24"/>
          <w:lang w:val="hr-HR"/>
        </w:rPr>
      </w:pPr>
      <w:r w:rsidRPr="006B12F2">
        <w:rPr>
          <w:b/>
          <w:color w:val="800000"/>
          <w:sz w:val="24"/>
          <w:szCs w:val="24"/>
          <w:lang w:val="hr-HR"/>
        </w:rPr>
        <w:br w:type="page"/>
      </w:r>
    </w:p>
    <w:p w14:paraId="4FDA4499" w14:textId="0CD8C5E1" w:rsidR="00A542C5" w:rsidRPr="006B12F2" w:rsidRDefault="00C07939" w:rsidP="00A542C5">
      <w:pPr>
        <w:pStyle w:val="Heading1"/>
        <w:numPr>
          <w:ilvl w:val="0"/>
          <w:numId w:val="2"/>
        </w:numPr>
        <w:jc w:val="left"/>
        <w:rPr>
          <w:rFonts w:ascii="Arial" w:hAnsi="Arial" w:cs="Arial"/>
          <w:sz w:val="28"/>
          <w:szCs w:val="28"/>
        </w:rPr>
      </w:pPr>
      <w:bookmarkStart w:id="0" w:name="_Toc52728926"/>
      <w:r w:rsidRPr="00C07939">
        <w:rPr>
          <w:rFonts w:ascii="Arial" w:hAnsi="Arial" w:cs="Arial"/>
          <w:sz w:val="28"/>
          <w:szCs w:val="28"/>
        </w:rPr>
        <w:lastRenderedPageBreak/>
        <w:t>Kratak opis problema i diskusija</w:t>
      </w:r>
      <w:bookmarkEnd w:id="0"/>
    </w:p>
    <w:p w14:paraId="424D3BB8" w14:textId="77777777" w:rsidR="00C07939" w:rsidRPr="00C07939" w:rsidRDefault="00C07939" w:rsidP="00C07939">
      <w:p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C07939">
        <w:rPr>
          <w:i/>
          <w:iCs/>
          <w:sz w:val="24"/>
          <w:szCs w:val="24"/>
          <w:lang w:val="hr-HR"/>
        </w:rPr>
        <w:t>Strategija obrazovanja nastavnika Crne Gore 2017 – 2024</w:t>
      </w:r>
      <w:r w:rsidRPr="00C07939">
        <w:rPr>
          <w:rStyle w:val="FootnoteReference"/>
          <w:i/>
          <w:iCs/>
          <w:sz w:val="24"/>
          <w:szCs w:val="24"/>
          <w:lang w:val="hr-HR"/>
        </w:rPr>
        <w:footnoteReference w:id="1"/>
      </w:r>
      <w:r w:rsidRPr="00C07939">
        <w:rPr>
          <w:i/>
          <w:iCs/>
          <w:sz w:val="24"/>
          <w:szCs w:val="24"/>
          <w:lang w:val="hr-HR"/>
        </w:rPr>
        <w:t xml:space="preserve"> </w:t>
      </w:r>
      <w:proofErr w:type="spellStart"/>
      <w:r w:rsidRPr="00C07939">
        <w:rPr>
          <w:sz w:val="24"/>
          <w:szCs w:val="24"/>
          <w:lang w:val="hr-HR"/>
        </w:rPr>
        <w:t>identifikovala</w:t>
      </w:r>
      <w:proofErr w:type="spellEnd"/>
      <w:r w:rsidRPr="00C07939">
        <w:rPr>
          <w:sz w:val="24"/>
          <w:szCs w:val="24"/>
          <w:lang w:val="hr-HR"/>
        </w:rPr>
        <w:t xml:space="preserve"> je da su studijski programi inicijalnog obrazovanju nastavnika na Univerzitetu Crne Gore (Filozofski fakultet, Filološki fakultet, Prirodno-matematički fakultet, Muzička akademiji, Fakultet likovnih umjetnosti i Fakultet za sport i fizičku kulturu) uglavnom, uz mali broj izuzetaka, koncipirani tako da studentima </w:t>
      </w:r>
      <w:proofErr w:type="spellStart"/>
      <w:r w:rsidRPr="00C07939">
        <w:rPr>
          <w:sz w:val="24"/>
          <w:szCs w:val="24"/>
          <w:lang w:val="hr-HR"/>
        </w:rPr>
        <w:t>obezbjeđuju</w:t>
      </w:r>
      <w:proofErr w:type="spellEnd"/>
      <w:r w:rsidRPr="00C07939">
        <w:rPr>
          <w:sz w:val="24"/>
          <w:szCs w:val="24"/>
          <w:lang w:val="hr-HR"/>
        </w:rPr>
        <w:t xml:space="preserve"> </w:t>
      </w:r>
      <w:proofErr w:type="spellStart"/>
      <w:r w:rsidRPr="00C07939">
        <w:rPr>
          <w:sz w:val="24"/>
          <w:szCs w:val="24"/>
          <w:lang w:val="hr-HR"/>
        </w:rPr>
        <w:t>sticanje</w:t>
      </w:r>
      <w:proofErr w:type="spellEnd"/>
      <w:r w:rsidRPr="00C07939">
        <w:rPr>
          <w:sz w:val="24"/>
          <w:szCs w:val="24"/>
          <w:lang w:val="hr-HR"/>
        </w:rPr>
        <w:t xml:space="preserve"> adekvatnog znanja iz konkretne struke, ali </w:t>
      </w:r>
      <w:r w:rsidRPr="00C07939">
        <w:rPr>
          <w:b/>
          <w:bCs/>
          <w:sz w:val="24"/>
          <w:szCs w:val="24"/>
          <w:lang w:val="hr-HR"/>
        </w:rPr>
        <w:t>ne i dovoljnu pripremu za rad u obrazovnim ustanovama, odnosno realnom radnom okruženju</w:t>
      </w:r>
      <w:r w:rsidRPr="00C07939">
        <w:rPr>
          <w:sz w:val="24"/>
          <w:szCs w:val="24"/>
          <w:lang w:val="hr-HR"/>
        </w:rPr>
        <w:t>. Detaljnom analizom koja je je predstavljena u Strategiji utvrđeno je da je:</w:t>
      </w:r>
    </w:p>
    <w:p w14:paraId="27F8D3AB" w14:textId="77777777" w:rsidR="00C07939" w:rsidRPr="00C07939" w:rsidRDefault="00C07939" w:rsidP="00C07939">
      <w:pPr>
        <w:pStyle w:val="ListParagraph"/>
        <w:widowControl/>
        <w:numPr>
          <w:ilvl w:val="0"/>
          <w:numId w:val="51"/>
        </w:numPr>
        <w:autoSpaceDE/>
        <w:autoSpaceDN/>
        <w:spacing w:before="100" w:after="100" w:line="276" w:lineRule="auto"/>
        <w:contextualSpacing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 xml:space="preserve">Broj pedagoško-didaktičkih predmeta i opterećenje studenta (fond časova, ECTS), koji daju nastavničke kompetencije </w:t>
      </w:r>
      <w:r w:rsidRPr="00C07939">
        <w:rPr>
          <w:b/>
          <w:bCs/>
          <w:sz w:val="24"/>
          <w:szCs w:val="24"/>
          <w:lang w:val="hr-HR"/>
        </w:rPr>
        <w:t>različit od programa do programa</w:t>
      </w:r>
      <w:r w:rsidRPr="00C07939">
        <w:rPr>
          <w:sz w:val="24"/>
          <w:szCs w:val="24"/>
          <w:lang w:val="hr-HR"/>
        </w:rPr>
        <w:t>;</w:t>
      </w:r>
    </w:p>
    <w:p w14:paraId="0FDD0816" w14:textId="77777777" w:rsidR="00C07939" w:rsidRPr="00C07939" w:rsidRDefault="00C07939" w:rsidP="00C07939">
      <w:pPr>
        <w:pStyle w:val="ListParagraph"/>
        <w:widowControl/>
        <w:numPr>
          <w:ilvl w:val="0"/>
          <w:numId w:val="51"/>
        </w:numPr>
        <w:autoSpaceDE/>
        <w:autoSpaceDN/>
        <w:spacing w:before="100" w:after="100" w:line="276" w:lineRule="auto"/>
        <w:contextualSpacing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 xml:space="preserve">U najvećem broju programa </w:t>
      </w:r>
      <w:r w:rsidRPr="00C07939">
        <w:rPr>
          <w:b/>
          <w:bCs/>
          <w:sz w:val="24"/>
          <w:szCs w:val="24"/>
          <w:lang w:val="hr-HR"/>
        </w:rPr>
        <w:t>opterećenja studenata je nedovoljno</w:t>
      </w:r>
      <w:r w:rsidRPr="00C07939">
        <w:rPr>
          <w:sz w:val="24"/>
          <w:szCs w:val="24"/>
          <w:lang w:val="hr-HR"/>
        </w:rPr>
        <w:t xml:space="preserve"> da bi dalo potrebne nastavničke kompetencije;</w:t>
      </w:r>
    </w:p>
    <w:p w14:paraId="2D8BF9FA" w14:textId="77777777" w:rsidR="00C07939" w:rsidRPr="00C07939" w:rsidRDefault="00C07939" w:rsidP="00C07939">
      <w:pPr>
        <w:pStyle w:val="ListParagraph"/>
        <w:widowControl/>
        <w:numPr>
          <w:ilvl w:val="0"/>
          <w:numId w:val="51"/>
        </w:numPr>
        <w:autoSpaceDE/>
        <w:autoSpaceDN/>
        <w:spacing w:before="100" w:after="100" w:line="276" w:lineRule="auto"/>
        <w:contextualSpacing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 xml:space="preserve">Sadržajno, dio pedagoško-didaktičkih predmeta </w:t>
      </w:r>
      <w:r w:rsidRPr="00C07939">
        <w:rPr>
          <w:b/>
          <w:bCs/>
          <w:sz w:val="24"/>
          <w:szCs w:val="24"/>
          <w:lang w:val="hr-HR"/>
        </w:rPr>
        <w:t>nije zasnovan na modernim konceptima</w:t>
      </w:r>
      <w:r w:rsidRPr="00C07939">
        <w:rPr>
          <w:sz w:val="24"/>
          <w:szCs w:val="24"/>
          <w:lang w:val="hr-HR"/>
        </w:rPr>
        <w:t xml:space="preserve"> (npr. zanemarene </w:t>
      </w:r>
      <w:proofErr w:type="spellStart"/>
      <w:r w:rsidRPr="00C07939">
        <w:rPr>
          <w:sz w:val="24"/>
          <w:szCs w:val="24"/>
          <w:lang w:val="hr-HR"/>
        </w:rPr>
        <w:t>socio</w:t>
      </w:r>
      <w:proofErr w:type="spellEnd"/>
      <w:r w:rsidRPr="00C07939">
        <w:rPr>
          <w:sz w:val="24"/>
          <w:szCs w:val="24"/>
          <w:lang w:val="hr-HR"/>
        </w:rPr>
        <w:t xml:space="preserve">-emocionalne i ključne kompetencije, orijentacija na studente još uvijek nije </w:t>
      </w:r>
      <w:proofErr w:type="spellStart"/>
      <w:r w:rsidRPr="00C07939">
        <w:rPr>
          <w:sz w:val="24"/>
          <w:szCs w:val="24"/>
          <w:lang w:val="hr-HR"/>
        </w:rPr>
        <w:t>integrisana</w:t>
      </w:r>
      <w:proofErr w:type="spellEnd"/>
      <w:r w:rsidRPr="00C07939">
        <w:rPr>
          <w:sz w:val="24"/>
          <w:szCs w:val="24"/>
          <w:lang w:val="hr-HR"/>
        </w:rPr>
        <w:t xml:space="preserve"> u kurikulume programi </w:t>
      </w:r>
      <w:proofErr w:type="spellStart"/>
      <w:r w:rsidRPr="00C07939">
        <w:rPr>
          <w:sz w:val="24"/>
          <w:szCs w:val="24"/>
          <w:lang w:val="hr-HR"/>
        </w:rPr>
        <w:t>nijesu</w:t>
      </w:r>
      <w:proofErr w:type="spellEnd"/>
      <w:r w:rsidRPr="00C07939">
        <w:rPr>
          <w:sz w:val="24"/>
          <w:szCs w:val="24"/>
          <w:lang w:val="hr-HR"/>
        </w:rPr>
        <w:t xml:space="preserve"> usklađeni prema promjenama u obrazovnoj politici zemlje).</w:t>
      </w:r>
    </w:p>
    <w:p w14:paraId="6E01B852" w14:textId="77777777" w:rsidR="00C07939" w:rsidRPr="00C07939" w:rsidRDefault="00C07939" w:rsidP="00C07939">
      <w:p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 xml:space="preserve">Strategija je ponudila rješenje kako </w:t>
      </w:r>
      <w:proofErr w:type="spellStart"/>
      <w:r w:rsidRPr="00C07939">
        <w:rPr>
          <w:sz w:val="24"/>
          <w:szCs w:val="24"/>
          <w:lang w:val="hr-HR"/>
        </w:rPr>
        <w:t>prevazići</w:t>
      </w:r>
      <w:proofErr w:type="spellEnd"/>
      <w:r w:rsidRPr="00C07939">
        <w:rPr>
          <w:sz w:val="24"/>
          <w:szCs w:val="24"/>
          <w:lang w:val="hr-HR"/>
        </w:rPr>
        <w:t xml:space="preserve"> ove nedostatke u inicijalnom obrazovanju nastavnika, nudeći jasan akcioni plan, koji sadržava sljedeće mjere (koje se odnose na studijske programe):</w:t>
      </w:r>
    </w:p>
    <w:p w14:paraId="53090D16" w14:textId="77777777" w:rsidR="00C07939" w:rsidRPr="00C07939" w:rsidRDefault="00C07939" w:rsidP="00C07939">
      <w:pPr>
        <w:pStyle w:val="ListParagraph"/>
        <w:widowControl/>
        <w:numPr>
          <w:ilvl w:val="0"/>
          <w:numId w:val="52"/>
        </w:numPr>
        <w:autoSpaceDE/>
        <w:autoSpaceDN/>
        <w:spacing w:before="100" w:after="100" w:line="276" w:lineRule="auto"/>
        <w:contextualSpacing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 xml:space="preserve">Unapređenje studijskih programa na način da budu fleksibilni, </w:t>
      </w:r>
      <w:proofErr w:type="spellStart"/>
      <w:r w:rsidRPr="00C07939">
        <w:rPr>
          <w:sz w:val="24"/>
          <w:szCs w:val="24"/>
          <w:lang w:val="hr-HR"/>
        </w:rPr>
        <w:t>modularizovani</w:t>
      </w:r>
      <w:proofErr w:type="spellEnd"/>
      <w:r w:rsidRPr="00C07939">
        <w:rPr>
          <w:sz w:val="24"/>
          <w:szCs w:val="24"/>
          <w:lang w:val="hr-HR"/>
        </w:rPr>
        <w:t xml:space="preserve">, da </w:t>
      </w:r>
      <w:proofErr w:type="spellStart"/>
      <w:r w:rsidRPr="00C07939">
        <w:rPr>
          <w:sz w:val="24"/>
          <w:szCs w:val="24"/>
          <w:lang w:val="hr-HR"/>
        </w:rPr>
        <w:t>odslikavaju</w:t>
      </w:r>
      <w:proofErr w:type="spellEnd"/>
      <w:r w:rsidRPr="00C07939">
        <w:rPr>
          <w:sz w:val="24"/>
          <w:szCs w:val="24"/>
          <w:lang w:val="hr-HR"/>
        </w:rPr>
        <w:t xml:space="preserve"> potrebe obrazovnog sistema i individualnosti učenika;</w:t>
      </w:r>
    </w:p>
    <w:p w14:paraId="1D47E308" w14:textId="77777777" w:rsidR="00C07939" w:rsidRPr="00C07939" w:rsidRDefault="00C07939" w:rsidP="00C07939">
      <w:pPr>
        <w:pStyle w:val="ListParagraph"/>
        <w:widowControl/>
        <w:numPr>
          <w:ilvl w:val="0"/>
          <w:numId w:val="52"/>
        </w:numPr>
        <w:autoSpaceDE/>
        <w:autoSpaceDN/>
        <w:spacing w:before="100" w:after="100" w:line="276" w:lineRule="auto"/>
        <w:contextualSpacing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>Utvrđivanje minimalne zastupljenosti pedagoško-psihološke i didaktičko-metodičke grupe predmeta u studijskim programima po kojima se obrazuju nastavnici;</w:t>
      </w:r>
    </w:p>
    <w:p w14:paraId="69DD5BCE" w14:textId="77777777" w:rsidR="00C07939" w:rsidRPr="00C07939" w:rsidRDefault="00C07939" w:rsidP="00C07939">
      <w:pPr>
        <w:pStyle w:val="ListParagraph"/>
        <w:widowControl/>
        <w:numPr>
          <w:ilvl w:val="0"/>
          <w:numId w:val="52"/>
        </w:numPr>
        <w:autoSpaceDE/>
        <w:autoSpaceDN/>
        <w:spacing w:before="100" w:after="100" w:line="276" w:lineRule="auto"/>
        <w:contextualSpacing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>Utvrđivanje minimalne zastupljenosti ključnih kompetencija u studijskim programima po kojima se obrazuju nastavnici;</w:t>
      </w:r>
    </w:p>
    <w:p w14:paraId="6C17ECFD" w14:textId="77777777" w:rsidR="00C07939" w:rsidRPr="00C07939" w:rsidRDefault="00C07939" w:rsidP="00C07939">
      <w:pPr>
        <w:pStyle w:val="ListParagraph"/>
        <w:widowControl/>
        <w:numPr>
          <w:ilvl w:val="0"/>
          <w:numId w:val="52"/>
        </w:numPr>
        <w:autoSpaceDE/>
        <w:autoSpaceDN/>
        <w:spacing w:before="100" w:after="100" w:line="276" w:lineRule="auto"/>
        <w:contextualSpacing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 xml:space="preserve">Utvrđivanje minimalne zastupljenosti sadržaja o </w:t>
      </w:r>
      <w:proofErr w:type="spellStart"/>
      <w:r w:rsidRPr="00C07939">
        <w:rPr>
          <w:sz w:val="24"/>
          <w:szCs w:val="24"/>
          <w:lang w:val="hr-HR"/>
        </w:rPr>
        <w:t>inkluzivnom</w:t>
      </w:r>
      <w:proofErr w:type="spellEnd"/>
      <w:r w:rsidRPr="00C07939">
        <w:rPr>
          <w:sz w:val="24"/>
          <w:szCs w:val="24"/>
          <w:lang w:val="hr-HR"/>
        </w:rPr>
        <w:t xml:space="preserve"> obrazovanju u studijskim programima po kojima se obrazuju nastavnici;</w:t>
      </w:r>
    </w:p>
    <w:p w14:paraId="6CEB891D" w14:textId="77777777" w:rsidR="00C07939" w:rsidRPr="00C07939" w:rsidRDefault="00C07939" w:rsidP="00C07939">
      <w:pPr>
        <w:pStyle w:val="ListParagraph"/>
        <w:widowControl/>
        <w:numPr>
          <w:ilvl w:val="0"/>
          <w:numId w:val="52"/>
        </w:numPr>
        <w:autoSpaceDE/>
        <w:autoSpaceDN/>
        <w:spacing w:before="100" w:after="100" w:line="276" w:lineRule="auto"/>
        <w:contextualSpacing/>
        <w:jc w:val="both"/>
        <w:rPr>
          <w:sz w:val="24"/>
          <w:szCs w:val="24"/>
          <w:lang w:val="hr-HR"/>
        </w:rPr>
      </w:pPr>
      <w:proofErr w:type="spellStart"/>
      <w:r w:rsidRPr="00C07939">
        <w:rPr>
          <w:sz w:val="24"/>
          <w:szCs w:val="24"/>
          <w:lang w:val="hr-HR"/>
        </w:rPr>
        <w:t>Obezbjeđenje</w:t>
      </w:r>
      <w:proofErr w:type="spellEnd"/>
      <w:r w:rsidRPr="00C07939">
        <w:rPr>
          <w:sz w:val="24"/>
          <w:szCs w:val="24"/>
          <w:lang w:val="hr-HR"/>
        </w:rPr>
        <w:t xml:space="preserve"> saradnje ustanova visokog obrazovanja i osnovnih i srednjih škola radi realizacije praktične nastave u toku inicijalnog obrazovanja svih nastavnika;</w:t>
      </w:r>
    </w:p>
    <w:p w14:paraId="22F80A42" w14:textId="77777777" w:rsidR="00C07939" w:rsidRPr="00C07939" w:rsidRDefault="00C07939" w:rsidP="00C07939">
      <w:pPr>
        <w:pStyle w:val="ListParagraph"/>
        <w:widowControl/>
        <w:numPr>
          <w:ilvl w:val="0"/>
          <w:numId w:val="52"/>
        </w:numPr>
        <w:autoSpaceDE/>
        <w:autoSpaceDN/>
        <w:spacing w:before="100" w:after="100" w:line="276" w:lineRule="auto"/>
        <w:contextualSpacing/>
        <w:jc w:val="both"/>
        <w:rPr>
          <w:sz w:val="24"/>
          <w:szCs w:val="24"/>
          <w:lang w:val="hr-HR"/>
        </w:rPr>
      </w:pPr>
      <w:proofErr w:type="spellStart"/>
      <w:r w:rsidRPr="00C07939">
        <w:rPr>
          <w:sz w:val="24"/>
          <w:szCs w:val="24"/>
          <w:lang w:val="hr-HR"/>
        </w:rPr>
        <w:t>Obezbjeđenje</w:t>
      </w:r>
      <w:proofErr w:type="spellEnd"/>
      <w:r w:rsidRPr="00C07939">
        <w:rPr>
          <w:sz w:val="24"/>
          <w:szCs w:val="24"/>
          <w:lang w:val="hr-HR"/>
        </w:rPr>
        <w:t xml:space="preserve"> kontinuiranog unapređenja znanja stranog jezika u toku inicijalnog obrazovanja nastavnika; </w:t>
      </w:r>
    </w:p>
    <w:p w14:paraId="20AE4F09" w14:textId="77777777" w:rsidR="00C07939" w:rsidRPr="00C07939" w:rsidRDefault="00C07939" w:rsidP="00C07939">
      <w:pPr>
        <w:pStyle w:val="ListParagraph"/>
        <w:widowControl/>
        <w:numPr>
          <w:ilvl w:val="0"/>
          <w:numId w:val="52"/>
        </w:numPr>
        <w:autoSpaceDE/>
        <w:autoSpaceDN/>
        <w:spacing w:before="100" w:after="100" w:line="276" w:lineRule="auto"/>
        <w:contextualSpacing/>
        <w:jc w:val="both"/>
        <w:rPr>
          <w:sz w:val="24"/>
          <w:szCs w:val="24"/>
          <w:lang w:val="hr-HR"/>
        </w:rPr>
      </w:pPr>
      <w:proofErr w:type="spellStart"/>
      <w:r w:rsidRPr="00C07939">
        <w:rPr>
          <w:sz w:val="24"/>
          <w:szCs w:val="24"/>
          <w:lang w:val="hr-HR"/>
        </w:rPr>
        <w:t>Obezbjeđenje</w:t>
      </w:r>
      <w:proofErr w:type="spellEnd"/>
      <w:r w:rsidRPr="00C07939">
        <w:rPr>
          <w:sz w:val="24"/>
          <w:szCs w:val="24"/>
          <w:lang w:val="hr-HR"/>
        </w:rPr>
        <w:t xml:space="preserve"> </w:t>
      </w:r>
      <w:proofErr w:type="spellStart"/>
      <w:r w:rsidRPr="00C07939">
        <w:rPr>
          <w:sz w:val="24"/>
          <w:szCs w:val="24"/>
          <w:lang w:val="hr-HR"/>
        </w:rPr>
        <w:t>sticanja</w:t>
      </w:r>
      <w:proofErr w:type="spellEnd"/>
      <w:r w:rsidRPr="00C07939">
        <w:rPr>
          <w:sz w:val="24"/>
          <w:szCs w:val="24"/>
          <w:lang w:val="hr-HR"/>
        </w:rPr>
        <w:t xml:space="preserve"> digitalne kompetencije u toku inicijalnog obrazovanja nastavnika.</w:t>
      </w:r>
    </w:p>
    <w:p w14:paraId="12EDE6F1" w14:textId="2AAF00F2" w:rsidR="00E640BC" w:rsidRPr="00E640BC" w:rsidRDefault="00E640BC" w:rsidP="00E640BC">
      <w:p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E640BC">
        <w:rPr>
          <w:sz w:val="24"/>
          <w:szCs w:val="24"/>
          <w:lang w:val="hr-HR"/>
        </w:rPr>
        <w:t xml:space="preserve">Nacionalni savjet za obrazovanje je u decembru 2016. godine usvojio </w:t>
      </w:r>
      <w:r w:rsidRPr="003D790A">
        <w:rPr>
          <w:i/>
          <w:iCs/>
          <w:sz w:val="24"/>
          <w:szCs w:val="24"/>
          <w:lang w:val="hr-HR"/>
        </w:rPr>
        <w:t xml:space="preserve">Standarde kompetencija za nastavnike i direktore u </w:t>
      </w:r>
      <w:proofErr w:type="spellStart"/>
      <w:r w:rsidRPr="003D790A">
        <w:rPr>
          <w:i/>
          <w:iCs/>
          <w:sz w:val="24"/>
          <w:szCs w:val="24"/>
          <w:lang w:val="hr-HR"/>
        </w:rPr>
        <w:t>vaspitno</w:t>
      </w:r>
      <w:proofErr w:type="spellEnd"/>
      <w:r w:rsidRPr="003D790A">
        <w:rPr>
          <w:i/>
          <w:iCs/>
          <w:sz w:val="24"/>
          <w:szCs w:val="24"/>
          <w:lang w:val="hr-HR"/>
        </w:rPr>
        <w:t>-obrazovnim ustanovama</w:t>
      </w:r>
      <w:r w:rsidRPr="00E640BC">
        <w:rPr>
          <w:sz w:val="24"/>
          <w:szCs w:val="24"/>
          <w:lang w:val="hr-HR"/>
        </w:rPr>
        <w:t xml:space="preserve">, koji sadržavaju i </w:t>
      </w:r>
      <w:r w:rsidRPr="003D790A">
        <w:rPr>
          <w:b/>
          <w:bCs/>
          <w:sz w:val="24"/>
          <w:szCs w:val="24"/>
          <w:lang w:val="hr-HR"/>
        </w:rPr>
        <w:t>standarde kompetencija nastavnika</w:t>
      </w:r>
      <w:r w:rsidRPr="00E640BC">
        <w:rPr>
          <w:sz w:val="24"/>
          <w:szCs w:val="24"/>
          <w:lang w:val="hr-HR"/>
        </w:rPr>
        <w:t xml:space="preserve">. </w:t>
      </w:r>
      <w:r w:rsidR="00A17EEA">
        <w:rPr>
          <w:sz w:val="24"/>
          <w:szCs w:val="24"/>
          <w:lang w:val="hr-HR"/>
        </w:rPr>
        <w:t>R</w:t>
      </w:r>
      <w:r w:rsidRPr="00E640BC">
        <w:rPr>
          <w:sz w:val="24"/>
          <w:szCs w:val="24"/>
          <w:lang w:val="hr-HR"/>
        </w:rPr>
        <w:t xml:space="preserve">azvijeno je osam </w:t>
      </w:r>
      <w:proofErr w:type="spellStart"/>
      <w:r w:rsidRPr="00E640BC">
        <w:rPr>
          <w:sz w:val="24"/>
          <w:szCs w:val="24"/>
          <w:lang w:val="hr-HR"/>
        </w:rPr>
        <w:t>standrda</w:t>
      </w:r>
      <w:proofErr w:type="spellEnd"/>
      <w:r w:rsidRPr="00E640BC">
        <w:rPr>
          <w:sz w:val="24"/>
          <w:szCs w:val="24"/>
          <w:lang w:val="hr-HR"/>
        </w:rPr>
        <w:t xml:space="preserve"> kompetencija nastavnika: </w:t>
      </w:r>
    </w:p>
    <w:p w14:paraId="4BC15510" w14:textId="77777777" w:rsidR="00E640BC" w:rsidRPr="003D790A" w:rsidRDefault="00E640BC" w:rsidP="003D790A">
      <w:pPr>
        <w:pStyle w:val="ListParagraph"/>
        <w:numPr>
          <w:ilvl w:val="0"/>
          <w:numId w:val="57"/>
        </w:num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3D790A">
        <w:rPr>
          <w:sz w:val="24"/>
          <w:szCs w:val="24"/>
          <w:lang w:val="hr-HR"/>
        </w:rPr>
        <w:lastRenderedPageBreak/>
        <w:t>Standard 1: Učenici i proces nastave/učenja;</w:t>
      </w:r>
    </w:p>
    <w:p w14:paraId="52E9126A" w14:textId="77777777" w:rsidR="00E640BC" w:rsidRPr="003D790A" w:rsidRDefault="00E640BC" w:rsidP="003D790A">
      <w:pPr>
        <w:pStyle w:val="ListParagraph"/>
        <w:numPr>
          <w:ilvl w:val="0"/>
          <w:numId w:val="57"/>
        </w:num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3D790A">
        <w:rPr>
          <w:sz w:val="24"/>
          <w:szCs w:val="24"/>
          <w:lang w:val="hr-HR"/>
        </w:rPr>
        <w:t>Standard 2: Djelotvorno i sigurno okruženje za učenje;</w:t>
      </w:r>
    </w:p>
    <w:p w14:paraId="527450E9" w14:textId="77777777" w:rsidR="00E640BC" w:rsidRPr="003D790A" w:rsidRDefault="00E640BC" w:rsidP="003D790A">
      <w:pPr>
        <w:pStyle w:val="ListParagraph"/>
        <w:numPr>
          <w:ilvl w:val="0"/>
          <w:numId w:val="57"/>
        </w:num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3D790A">
        <w:rPr>
          <w:sz w:val="24"/>
          <w:szCs w:val="24"/>
          <w:lang w:val="hr-HR"/>
        </w:rPr>
        <w:t>Standard 3: Poznavanje struke i predmetnog programa;</w:t>
      </w:r>
    </w:p>
    <w:p w14:paraId="5350E3C5" w14:textId="77777777" w:rsidR="00E640BC" w:rsidRPr="003D790A" w:rsidRDefault="00E640BC" w:rsidP="003D790A">
      <w:pPr>
        <w:pStyle w:val="ListParagraph"/>
        <w:numPr>
          <w:ilvl w:val="0"/>
          <w:numId w:val="57"/>
        </w:num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3D790A">
        <w:rPr>
          <w:sz w:val="24"/>
          <w:szCs w:val="24"/>
          <w:lang w:val="hr-HR"/>
        </w:rPr>
        <w:t>Standard 4: Poznavanje metodike predmeta;</w:t>
      </w:r>
    </w:p>
    <w:p w14:paraId="613ED056" w14:textId="77777777" w:rsidR="00E640BC" w:rsidRPr="003D790A" w:rsidRDefault="00E640BC" w:rsidP="003D790A">
      <w:pPr>
        <w:pStyle w:val="ListParagraph"/>
        <w:numPr>
          <w:ilvl w:val="0"/>
          <w:numId w:val="57"/>
        </w:num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3D790A">
        <w:rPr>
          <w:sz w:val="24"/>
          <w:szCs w:val="24"/>
          <w:lang w:val="hr-HR"/>
        </w:rPr>
        <w:t>Standard 5: Planiranje i pripremanje nastave;</w:t>
      </w:r>
    </w:p>
    <w:p w14:paraId="41CB4FEE" w14:textId="77777777" w:rsidR="00E640BC" w:rsidRPr="003D790A" w:rsidRDefault="00E640BC" w:rsidP="003D790A">
      <w:pPr>
        <w:pStyle w:val="ListParagraph"/>
        <w:numPr>
          <w:ilvl w:val="0"/>
          <w:numId w:val="57"/>
        </w:num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3D790A">
        <w:rPr>
          <w:sz w:val="24"/>
          <w:szCs w:val="24"/>
          <w:lang w:val="hr-HR"/>
        </w:rPr>
        <w:t>Standard 6: Procjenjivanje i ocjenjivanje;</w:t>
      </w:r>
    </w:p>
    <w:p w14:paraId="2FC62B63" w14:textId="77777777" w:rsidR="00E640BC" w:rsidRPr="003D790A" w:rsidRDefault="00E640BC" w:rsidP="003D790A">
      <w:pPr>
        <w:pStyle w:val="ListParagraph"/>
        <w:numPr>
          <w:ilvl w:val="0"/>
          <w:numId w:val="57"/>
        </w:num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3D790A">
        <w:rPr>
          <w:sz w:val="24"/>
          <w:szCs w:val="24"/>
          <w:lang w:val="hr-HR"/>
        </w:rPr>
        <w:t>Standard 7: Profesionalni razvoj;</w:t>
      </w:r>
    </w:p>
    <w:p w14:paraId="607B4B35" w14:textId="77777777" w:rsidR="00E640BC" w:rsidRPr="003D790A" w:rsidRDefault="00E640BC" w:rsidP="003D790A">
      <w:pPr>
        <w:pStyle w:val="ListParagraph"/>
        <w:numPr>
          <w:ilvl w:val="0"/>
          <w:numId w:val="57"/>
        </w:num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3D790A">
        <w:rPr>
          <w:sz w:val="24"/>
          <w:szCs w:val="24"/>
          <w:lang w:val="hr-HR"/>
        </w:rPr>
        <w:t>Standard 8: Liderstvo i saradnja.</w:t>
      </w:r>
    </w:p>
    <w:p w14:paraId="75129BDF" w14:textId="75010CB6" w:rsidR="00E640BC" w:rsidRDefault="00E640BC" w:rsidP="00E640BC">
      <w:p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E640BC">
        <w:rPr>
          <w:sz w:val="24"/>
          <w:szCs w:val="24"/>
          <w:lang w:val="hr-HR"/>
        </w:rPr>
        <w:t xml:space="preserve">Uz svaki od osam standarda, razvijeni su </w:t>
      </w:r>
      <w:r w:rsidRPr="003D790A">
        <w:rPr>
          <w:b/>
          <w:bCs/>
          <w:sz w:val="24"/>
          <w:szCs w:val="24"/>
          <w:lang w:val="hr-HR"/>
        </w:rPr>
        <w:t xml:space="preserve">deskriptori </w:t>
      </w:r>
      <w:r w:rsidRPr="00E640BC">
        <w:rPr>
          <w:sz w:val="24"/>
          <w:szCs w:val="24"/>
          <w:lang w:val="hr-HR"/>
        </w:rPr>
        <w:t xml:space="preserve">koji se odnose na </w:t>
      </w:r>
      <w:r w:rsidRPr="003D790A">
        <w:rPr>
          <w:b/>
          <w:bCs/>
          <w:sz w:val="24"/>
          <w:szCs w:val="24"/>
          <w:lang w:val="hr-HR"/>
        </w:rPr>
        <w:t>praksu, znanja i stavove</w:t>
      </w:r>
      <w:r w:rsidRPr="00E640BC">
        <w:rPr>
          <w:sz w:val="24"/>
          <w:szCs w:val="24"/>
          <w:lang w:val="hr-HR"/>
        </w:rPr>
        <w:t>.</w:t>
      </w:r>
    </w:p>
    <w:p w14:paraId="5A1AC391" w14:textId="760E71B8" w:rsidR="00C07939" w:rsidRPr="00C07939" w:rsidRDefault="00C07939" w:rsidP="00C07939">
      <w:p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 xml:space="preserve">Iz navedenog je jasno da bi izrada </w:t>
      </w:r>
      <w:r w:rsidRPr="00C07939">
        <w:rPr>
          <w:b/>
          <w:bCs/>
          <w:sz w:val="24"/>
          <w:szCs w:val="24"/>
          <w:lang w:val="hr-HR"/>
        </w:rPr>
        <w:t>modula</w:t>
      </w:r>
      <w:r w:rsidRPr="00C07939">
        <w:rPr>
          <w:sz w:val="24"/>
          <w:szCs w:val="24"/>
          <w:lang w:val="hr-HR"/>
        </w:rPr>
        <w:t xml:space="preserve"> </w:t>
      </w:r>
      <w:r w:rsidRPr="00C07939">
        <w:rPr>
          <w:b/>
          <w:bCs/>
          <w:sz w:val="24"/>
          <w:szCs w:val="24"/>
          <w:lang w:val="hr-HR"/>
        </w:rPr>
        <w:t>koji bi studentima na studijskim programima za inicijalno obrazovanje nastavnika</w:t>
      </w:r>
      <w:r w:rsidR="00E640BC">
        <w:rPr>
          <w:b/>
          <w:bCs/>
          <w:sz w:val="24"/>
          <w:szCs w:val="24"/>
          <w:lang w:val="hr-HR"/>
        </w:rPr>
        <w:t xml:space="preserve">, baziran na </w:t>
      </w:r>
      <w:proofErr w:type="spellStart"/>
      <w:r w:rsidR="00E640BC">
        <w:rPr>
          <w:b/>
          <w:bCs/>
          <w:sz w:val="24"/>
          <w:szCs w:val="24"/>
          <w:lang w:val="hr-HR"/>
        </w:rPr>
        <w:t>razijenim</w:t>
      </w:r>
      <w:proofErr w:type="spellEnd"/>
      <w:r w:rsidR="00E640BC">
        <w:rPr>
          <w:b/>
          <w:bCs/>
          <w:sz w:val="24"/>
          <w:szCs w:val="24"/>
          <w:lang w:val="hr-HR"/>
        </w:rPr>
        <w:t xml:space="preserve"> standardima,</w:t>
      </w:r>
      <w:r w:rsidRPr="00C07939">
        <w:rPr>
          <w:b/>
          <w:bCs/>
          <w:sz w:val="24"/>
          <w:szCs w:val="24"/>
          <w:lang w:val="hr-HR"/>
        </w:rPr>
        <w:t xml:space="preserve"> davao nastavničke kompetencije</w:t>
      </w:r>
      <w:r w:rsidRPr="00C07939">
        <w:rPr>
          <w:sz w:val="24"/>
          <w:szCs w:val="24"/>
          <w:lang w:val="hr-HR"/>
        </w:rPr>
        <w:t xml:space="preserve"> značajno doprinijelo ispunjenju mjera iz Strategije</w:t>
      </w:r>
      <w:r w:rsidR="00AA0D31">
        <w:rPr>
          <w:rStyle w:val="FootnoteReference"/>
          <w:sz w:val="24"/>
          <w:szCs w:val="24"/>
          <w:lang w:val="hr-HR"/>
        </w:rPr>
        <w:footnoteReference w:id="2"/>
      </w:r>
      <w:r w:rsidRPr="00C07939">
        <w:rPr>
          <w:sz w:val="24"/>
          <w:szCs w:val="24"/>
          <w:lang w:val="hr-HR"/>
        </w:rPr>
        <w:t>. U teoriji organizacije visokog obrazovanja modul može imati različito značenje i različitu primjenu na različitim univerzitetima, no termin se uglavnom odnosi na funkcionalnu cjelinu sastavljenu od predmeta (</w:t>
      </w:r>
      <w:proofErr w:type="spellStart"/>
      <w:r w:rsidRPr="00C07939">
        <w:rPr>
          <w:sz w:val="24"/>
          <w:szCs w:val="24"/>
          <w:lang w:val="hr-HR"/>
        </w:rPr>
        <w:t>kurseva</w:t>
      </w:r>
      <w:proofErr w:type="spellEnd"/>
      <w:r w:rsidRPr="00C07939">
        <w:rPr>
          <w:sz w:val="24"/>
          <w:szCs w:val="24"/>
          <w:lang w:val="hr-HR"/>
        </w:rPr>
        <w:t xml:space="preserve">) koja se može prenositi, pa samim time i zajednički izvoditi za više studijskih programa. </w:t>
      </w:r>
    </w:p>
    <w:p w14:paraId="4FCD6D76" w14:textId="6D453FF7" w:rsidR="00C07939" w:rsidRPr="00C07939" w:rsidRDefault="00C07939" w:rsidP="00C07939">
      <w:p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 xml:space="preserve">Kada je u pitanju „minimalna zastupljenosti pedagoško-psihološke i didaktičko-metodičke grupe predmeta“, Strategija je, prema nadležnostima iz </w:t>
      </w:r>
      <w:r w:rsidRPr="00C07939">
        <w:rPr>
          <w:i/>
          <w:iCs/>
          <w:sz w:val="24"/>
          <w:szCs w:val="24"/>
          <w:lang w:val="hr-HR"/>
        </w:rPr>
        <w:t>Zakona o visokom obrazovanju</w:t>
      </w:r>
      <w:r w:rsidRPr="00C07939">
        <w:rPr>
          <w:sz w:val="24"/>
          <w:szCs w:val="24"/>
          <w:lang w:val="hr-HR"/>
        </w:rPr>
        <w:t xml:space="preserve">, predvidjela da odluku o tome donese </w:t>
      </w:r>
      <w:r w:rsidRPr="00C07939">
        <w:rPr>
          <w:b/>
          <w:bCs/>
          <w:sz w:val="24"/>
          <w:szCs w:val="24"/>
          <w:lang w:val="hr-HR"/>
        </w:rPr>
        <w:t>Savjet za visoko obrazovanje</w:t>
      </w:r>
      <w:r w:rsidRPr="00C07939">
        <w:rPr>
          <w:sz w:val="24"/>
          <w:szCs w:val="24"/>
          <w:lang w:val="hr-HR"/>
        </w:rPr>
        <w:t xml:space="preserve"> kao stvarno nadležno tijelo. Odluka bi vjerojatno bila povezana s akreditacijom studijskih programa za obrazovanje nastavnika. No, takva odluka nije do sada donijeta. Uzimajući u obzir praksu iz okruženja i iz EU, ali i postojeću praksu (kompoziciju studijskih programa, broj predmeta i opterećenje studenta, kadrovsku situaciju, broj studenata na pojedinim studijskim programima, legislativu, fleksibilnost </w:t>
      </w:r>
      <w:proofErr w:type="spellStart"/>
      <w:r w:rsidRPr="00C07939">
        <w:rPr>
          <w:sz w:val="24"/>
          <w:szCs w:val="24"/>
          <w:lang w:val="hr-HR"/>
        </w:rPr>
        <w:t>itd</w:t>
      </w:r>
      <w:proofErr w:type="spellEnd"/>
      <w:r w:rsidRPr="00C07939">
        <w:rPr>
          <w:sz w:val="24"/>
          <w:szCs w:val="24"/>
          <w:lang w:val="hr-HR"/>
        </w:rPr>
        <w:t xml:space="preserve">…), bilo bi razumno predložiti da </w:t>
      </w:r>
      <w:r w:rsidRPr="00C07939">
        <w:rPr>
          <w:b/>
          <w:bCs/>
          <w:sz w:val="24"/>
          <w:szCs w:val="24"/>
          <w:lang w:val="hr-HR"/>
        </w:rPr>
        <w:t xml:space="preserve">minimalna zastupljenost pedagoško-psihološke i didaktičko-metodičke grupe predmeta bude 30 ECTS po ciklusu studija </w:t>
      </w:r>
      <w:r w:rsidRPr="00C07939">
        <w:rPr>
          <w:sz w:val="24"/>
          <w:szCs w:val="24"/>
          <w:lang w:val="hr-HR"/>
        </w:rPr>
        <w:t xml:space="preserve">(60 ECTS za </w:t>
      </w:r>
      <w:proofErr w:type="spellStart"/>
      <w:r w:rsidRPr="00C07939">
        <w:rPr>
          <w:sz w:val="24"/>
          <w:szCs w:val="24"/>
          <w:lang w:val="hr-HR"/>
        </w:rPr>
        <w:t>integrisane</w:t>
      </w:r>
      <w:proofErr w:type="spellEnd"/>
      <w:r w:rsidRPr="00C07939">
        <w:rPr>
          <w:sz w:val="24"/>
          <w:szCs w:val="24"/>
          <w:lang w:val="hr-HR"/>
        </w:rPr>
        <w:t xml:space="preserve"> studije prvog i drugog ciklusa). Izmjena do 30 ECTS se ne smatra novim studijskim programom (ne zahtijeva novu akreditaciju odmah), a istovremeno je u 60 ECTS (u dva ciklusa – student stiče kompetenciju nastavnika nakon drugog ciklusa, zvanje magistar) moguće </w:t>
      </w:r>
      <w:proofErr w:type="spellStart"/>
      <w:r w:rsidRPr="00C07939">
        <w:rPr>
          <w:sz w:val="24"/>
          <w:szCs w:val="24"/>
          <w:lang w:val="hr-HR"/>
        </w:rPr>
        <w:t>organizovati</w:t>
      </w:r>
      <w:proofErr w:type="spellEnd"/>
      <w:r w:rsidRPr="00C07939">
        <w:rPr>
          <w:sz w:val="24"/>
          <w:szCs w:val="24"/>
          <w:lang w:val="hr-HR"/>
        </w:rPr>
        <w:t xml:space="preserve"> proces učenja i podučavanja koji bi opremio studentima potrebnim psihološko-pedagoškim i metodičko-didaktičkim kompetencijama, uključivo i fokus na ključne kompetencije, </w:t>
      </w:r>
      <w:proofErr w:type="spellStart"/>
      <w:r w:rsidRPr="00C07939">
        <w:rPr>
          <w:sz w:val="24"/>
          <w:szCs w:val="24"/>
          <w:lang w:val="hr-HR"/>
        </w:rPr>
        <w:t>inkluziju</w:t>
      </w:r>
      <w:proofErr w:type="spellEnd"/>
      <w:r w:rsidRPr="00C07939">
        <w:rPr>
          <w:sz w:val="24"/>
          <w:szCs w:val="24"/>
          <w:lang w:val="hr-HR"/>
        </w:rPr>
        <w:t>, strane jezike i digitalne tehnologije.</w:t>
      </w:r>
    </w:p>
    <w:p w14:paraId="16ED3544" w14:textId="20D5B1D1" w:rsidR="00C07939" w:rsidRPr="00C07939" w:rsidRDefault="00C07939" w:rsidP="00C07939">
      <w:p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 xml:space="preserve">Iz samog opisa problema proizlazi i sadržaj modula koji bi davao kompetencije nastavnika: on treba imati dio koji se odnosi na pedagoško-psihološke kompetencije (npr. kroz predmete psihologija i pedagogija), te didaktičko-metodičke kompetencije (npr. kroz predmet metodika nastave). U kadrovskom smislu, </w:t>
      </w:r>
      <w:r w:rsidRPr="00C07939">
        <w:rPr>
          <w:b/>
          <w:bCs/>
          <w:sz w:val="24"/>
          <w:szCs w:val="24"/>
          <w:lang w:val="hr-HR"/>
        </w:rPr>
        <w:t xml:space="preserve">to ne znači nužno disbalans normi nastavnika na </w:t>
      </w:r>
      <w:r w:rsidRPr="00C07939">
        <w:rPr>
          <w:b/>
          <w:bCs/>
          <w:sz w:val="24"/>
          <w:szCs w:val="24"/>
          <w:lang w:val="hr-HR"/>
        </w:rPr>
        <w:lastRenderedPageBreak/>
        <w:t xml:space="preserve">fakultetima koji </w:t>
      </w:r>
      <w:proofErr w:type="spellStart"/>
      <w:r w:rsidRPr="00C07939">
        <w:rPr>
          <w:b/>
          <w:bCs/>
          <w:sz w:val="24"/>
          <w:szCs w:val="24"/>
          <w:lang w:val="hr-HR"/>
        </w:rPr>
        <w:t>ni</w:t>
      </w:r>
      <w:r w:rsidR="00A84531">
        <w:rPr>
          <w:b/>
          <w:bCs/>
          <w:sz w:val="24"/>
          <w:szCs w:val="24"/>
          <w:lang w:val="hr-HR"/>
        </w:rPr>
        <w:t>je</w:t>
      </w:r>
      <w:r w:rsidRPr="00C07939">
        <w:rPr>
          <w:b/>
          <w:bCs/>
          <w:sz w:val="24"/>
          <w:szCs w:val="24"/>
          <w:lang w:val="hr-HR"/>
        </w:rPr>
        <w:t>su</w:t>
      </w:r>
      <w:proofErr w:type="spellEnd"/>
      <w:r w:rsidRPr="00C07939">
        <w:rPr>
          <w:b/>
          <w:bCs/>
          <w:sz w:val="24"/>
          <w:szCs w:val="24"/>
          <w:lang w:val="hr-HR"/>
        </w:rPr>
        <w:t xml:space="preserve"> matični za psihološko-pedagoške discipline</w:t>
      </w:r>
      <w:r w:rsidRPr="00C07939">
        <w:rPr>
          <w:sz w:val="24"/>
          <w:szCs w:val="24"/>
          <w:lang w:val="hr-HR"/>
        </w:rPr>
        <w:t xml:space="preserve">. Metodiku nastave, prema trenutnoj praksi, </w:t>
      </w:r>
      <w:r w:rsidR="00A84531">
        <w:rPr>
          <w:sz w:val="24"/>
          <w:szCs w:val="24"/>
          <w:lang w:val="hr-HR"/>
        </w:rPr>
        <w:t xml:space="preserve">uglavnom </w:t>
      </w:r>
      <w:r w:rsidRPr="00C07939">
        <w:rPr>
          <w:sz w:val="24"/>
          <w:szCs w:val="24"/>
          <w:lang w:val="hr-HR"/>
        </w:rPr>
        <w:t>izvode nastavnici fakulteta matičnih za predmetne discipline (Filološki fakultet, Prirodno-matematički fakultet, Muzička akademiji, Fakultet likovnih umjetnosti i Fakultet za sport i fizičku kulturu). Metodike nastave bi, prema mjerama iz Strategije, trebalo obogatiti metodičkom praksom koju bi studenti izvodili u osnovnim i srednjim školama, što bi se postiglo „saradnjom ustanova visokog obrazovanja i osnovnih i srednjih škola“.</w:t>
      </w:r>
    </w:p>
    <w:p w14:paraId="2204A181" w14:textId="17819780" w:rsidR="00A542C5" w:rsidRPr="006B12F2" w:rsidRDefault="00C07939" w:rsidP="00A542C5">
      <w:pPr>
        <w:pStyle w:val="Heading1"/>
        <w:numPr>
          <w:ilvl w:val="0"/>
          <w:numId w:val="2"/>
        </w:numPr>
        <w:jc w:val="left"/>
        <w:rPr>
          <w:rFonts w:ascii="Arial" w:hAnsi="Arial" w:cs="Arial"/>
          <w:sz w:val="28"/>
          <w:szCs w:val="28"/>
        </w:rPr>
      </w:pPr>
      <w:bookmarkStart w:id="1" w:name="_Toc52728927"/>
      <w:r w:rsidRPr="00C07939">
        <w:rPr>
          <w:rFonts w:ascii="Arial" w:hAnsi="Arial" w:cs="Arial"/>
          <w:sz w:val="28"/>
          <w:szCs w:val="28"/>
        </w:rPr>
        <w:t>Projekat Integracija ključnih kompetencija u obrazovni sistem Crne Gore</w:t>
      </w:r>
      <w:bookmarkEnd w:id="1"/>
      <w:r w:rsidR="001E45B1" w:rsidRPr="006B12F2">
        <w:rPr>
          <w:rFonts w:ascii="Arial" w:hAnsi="Arial" w:cs="Arial"/>
          <w:sz w:val="28"/>
          <w:szCs w:val="28"/>
        </w:rPr>
        <w:t xml:space="preserve"> </w:t>
      </w:r>
    </w:p>
    <w:p w14:paraId="69162ADB" w14:textId="619DBC99" w:rsidR="00C07939" w:rsidRDefault="00C07939" w:rsidP="00C07939">
      <w:p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 xml:space="preserve">Projekat se odnosi na implementaciju politike EU o ključnim kompetencijama za cjeloživotno učenje, </w:t>
      </w:r>
      <w:proofErr w:type="spellStart"/>
      <w:r w:rsidRPr="00C07939">
        <w:rPr>
          <w:sz w:val="24"/>
          <w:szCs w:val="24"/>
          <w:lang w:val="hr-HR"/>
        </w:rPr>
        <w:t>definisanu</w:t>
      </w:r>
      <w:proofErr w:type="spellEnd"/>
      <w:r w:rsidRPr="00C07939">
        <w:rPr>
          <w:sz w:val="24"/>
          <w:szCs w:val="24"/>
          <w:lang w:val="hr-HR"/>
        </w:rPr>
        <w:t xml:space="preserve"> </w:t>
      </w:r>
      <w:r w:rsidRPr="00C07939">
        <w:rPr>
          <w:i/>
          <w:iCs/>
          <w:sz w:val="24"/>
          <w:szCs w:val="24"/>
          <w:lang w:val="hr-HR"/>
        </w:rPr>
        <w:t>Preporukama Parlamenta i Savjeta EU o Evropskom referentnom okviru ključnih kompetencija za cjeloživotno učenje</w:t>
      </w:r>
      <w:r w:rsidRPr="00C07939">
        <w:rPr>
          <w:sz w:val="24"/>
          <w:szCs w:val="24"/>
          <w:lang w:val="hr-HR"/>
        </w:rPr>
        <w:t xml:space="preserve"> (2006, 2018). Osnovni podaci o Projektu su:</w:t>
      </w:r>
    </w:p>
    <w:p w14:paraId="7B593523" w14:textId="77777777" w:rsidR="00C07939" w:rsidRPr="00C07939" w:rsidRDefault="00C07939" w:rsidP="00C07939">
      <w:pPr>
        <w:spacing w:before="100" w:after="100" w:line="276" w:lineRule="auto"/>
        <w:jc w:val="both"/>
        <w:rPr>
          <w:sz w:val="24"/>
          <w:szCs w:val="24"/>
          <w:lang w:val="hr-HR"/>
        </w:rPr>
      </w:pPr>
    </w:p>
    <w:tbl>
      <w:tblPr>
        <w:tblStyle w:val="TableGrid"/>
        <w:tblW w:w="0" w:type="auto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975"/>
        <w:gridCol w:w="8100"/>
      </w:tblGrid>
      <w:tr w:rsidR="00C07939" w:rsidRPr="00C07939" w14:paraId="13C9D4D9" w14:textId="77777777" w:rsidTr="00C07939">
        <w:tc>
          <w:tcPr>
            <w:tcW w:w="1975" w:type="dxa"/>
            <w:vAlign w:val="center"/>
          </w:tcPr>
          <w:p w14:paraId="1276FFFC" w14:textId="77777777" w:rsidR="00C07939" w:rsidRPr="00C07939" w:rsidRDefault="00C07939" w:rsidP="002C18FE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>Program:</w:t>
            </w:r>
          </w:p>
        </w:tc>
        <w:tc>
          <w:tcPr>
            <w:tcW w:w="8100" w:type="dxa"/>
            <w:vAlign w:val="center"/>
          </w:tcPr>
          <w:p w14:paraId="7A4713A7" w14:textId="77777777" w:rsidR="00C07939" w:rsidRPr="00C07939" w:rsidRDefault="00C07939" w:rsidP="002C18FE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 xml:space="preserve">IPA II. </w:t>
            </w:r>
            <w:r w:rsidRPr="00C07939">
              <w:rPr>
                <w:sz w:val="24"/>
                <w:szCs w:val="24"/>
                <w:cs/>
                <w:lang w:val="hr-HR" w:bidi="mr-IN"/>
              </w:rPr>
              <w:t>–</w:t>
            </w:r>
            <w:r w:rsidRPr="00C07939">
              <w:rPr>
                <w:sz w:val="24"/>
                <w:szCs w:val="24"/>
                <w:lang w:val="hr-HR"/>
              </w:rPr>
              <w:t xml:space="preserve"> Sektorski</w:t>
            </w:r>
            <w:r w:rsidRPr="00C07939">
              <w:rPr>
                <w:sz w:val="24"/>
                <w:szCs w:val="24"/>
                <w:cs/>
                <w:lang w:val="hr-HR" w:bidi="ta-IN"/>
              </w:rPr>
              <w:t xml:space="preserve"> </w:t>
            </w:r>
            <w:r w:rsidRPr="00C07939">
              <w:rPr>
                <w:sz w:val="24"/>
                <w:szCs w:val="24"/>
                <w:lang w:val="hr-HR"/>
              </w:rPr>
              <w:t>operativni program za zapošljavanje, obrazovanje i socijalnu politiku Crne</w:t>
            </w:r>
            <w:r w:rsidRPr="00C07939">
              <w:rPr>
                <w:sz w:val="24"/>
                <w:szCs w:val="24"/>
                <w:cs/>
                <w:lang w:val="hr-HR" w:bidi="ta-IN"/>
              </w:rPr>
              <w:t xml:space="preserve"> </w:t>
            </w:r>
            <w:r w:rsidRPr="00C07939">
              <w:rPr>
                <w:sz w:val="24"/>
                <w:szCs w:val="24"/>
                <w:lang w:val="hr-HR"/>
              </w:rPr>
              <w:t>Gore 2015-2017</w:t>
            </w:r>
          </w:p>
        </w:tc>
      </w:tr>
      <w:tr w:rsidR="00C07939" w:rsidRPr="00C07939" w14:paraId="1E77DF20" w14:textId="77777777" w:rsidTr="00C07939">
        <w:tc>
          <w:tcPr>
            <w:tcW w:w="1975" w:type="dxa"/>
            <w:vAlign w:val="center"/>
          </w:tcPr>
          <w:p w14:paraId="40F740F4" w14:textId="77777777" w:rsidR="00C07939" w:rsidRPr="00C07939" w:rsidRDefault="00C07939" w:rsidP="002C18FE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>Naziv Projekta:</w:t>
            </w:r>
          </w:p>
        </w:tc>
        <w:tc>
          <w:tcPr>
            <w:tcW w:w="8100" w:type="dxa"/>
            <w:vAlign w:val="center"/>
          </w:tcPr>
          <w:p w14:paraId="6883AC5A" w14:textId="77777777" w:rsidR="00C07939" w:rsidRPr="00C07939" w:rsidRDefault="00C07939" w:rsidP="002C18FE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>Integracija ključnih kompetencija u</w:t>
            </w:r>
            <w:r w:rsidRPr="00C07939">
              <w:rPr>
                <w:sz w:val="24"/>
                <w:szCs w:val="24"/>
                <w:cs/>
                <w:lang w:val="hr-HR" w:bidi="ta-IN"/>
              </w:rPr>
              <w:t xml:space="preserve"> </w:t>
            </w:r>
            <w:r w:rsidRPr="00C07939">
              <w:rPr>
                <w:sz w:val="24"/>
                <w:szCs w:val="24"/>
                <w:lang w:val="hr-HR"/>
              </w:rPr>
              <w:t>obrazovni sistem Crne</w:t>
            </w:r>
            <w:r w:rsidRPr="00C07939">
              <w:rPr>
                <w:sz w:val="24"/>
                <w:szCs w:val="24"/>
                <w:cs/>
                <w:lang w:val="hr-HR" w:bidi="ta-IN"/>
              </w:rPr>
              <w:t xml:space="preserve"> </w:t>
            </w:r>
            <w:r w:rsidRPr="00C07939">
              <w:rPr>
                <w:sz w:val="24"/>
                <w:szCs w:val="24"/>
                <w:lang w:val="hr-HR"/>
              </w:rPr>
              <w:t>Gore</w:t>
            </w:r>
          </w:p>
        </w:tc>
      </w:tr>
      <w:tr w:rsidR="00C07939" w:rsidRPr="00C07939" w14:paraId="27FF026B" w14:textId="77777777" w:rsidTr="00C07939">
        <w:tc>
          <w:tcPr>
            <w:tcW w:w="1975" w:type="dxa"/>
            <w:vAlign w:val="center"/>
          </w:tcPr>
          <w:p w14:paraId="77B78DB6" w14:textId="77777777" w:rsidR="00C07939" w:rsidRPr="00C07939" w:rsidRDefault="00C07939" w:rsidP="002C18FE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>Ugovorni organ:</w:t>
            </w:r>
          </w:p>
        </w:tc>
        <w:tc>
          <w:tcPr>
            <w:tcW w:w="8100" w:type="dxa"/>
            <w:vAlign w:val="center"/>
          </w:tcPr>
          <w:p w14:paraId="57C47D12" w14:textId="77777777" w:rsidR="00C07939" w:rsidRPr="00C07939" w:rsidRDefault="00C07939" w:rsidP="002C18FE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 xml:space="preserve">Ministarstvo </w:t>
            </w:r>
            <w:proofErr w:type="spellStart"/>
            <w:r w:rsidRPr="00C07939">
              <w:rPr>
                <w:sz w:val="24"/>
                <w:szCs w:val="24"/>
                <w:lang w:val="hr-HR"/>
              </w:rPr>
              <w:t>finansija</w:t>
            </w:r>
            <w:proofErr w:type="spellEnd"/>
            <w:r w:rsidRPr="00C07939">
              <w:rPr>
                <w:sz w:val="24"/>
                <w:szCs w:val="24"/>
                <w:lang w:val="hr-HR"/>
              </w:rPr>
              <w:t xml:space="preserve"> Crne Gore, </w:t>
            </w:r>
            <w:proofErr w:type="spellStart"/>
            <w:r w:rsidRPr="00C07939">
              <w:rPr>
                <w:sz w:val="24"/>
                <w:szCs w:val="24"/>
                <w:lang w:val="hr-HR"/>
              </w:rPr>
              <w:t>Direktorat</w:t>
            </w:r>
            <w:proofErr w:type="spellEnd"/>
            <w:r w:rsidRPr="00C07939">
              <w:rPr>
                <w:sz w:val="24"/>
                <w:szCs w:val="24"/>
                <w:lang w:val="hr-HR"/>
              </w:rPr>
              <w:t xml:space="preserve"> za financiranje i ugovaranje sredstava EU pomoći</w:t>
            </w:r>
          </w:p>
        </w:tc>
      </w:tr>
      <w:tr w:rsidR="00C07939" w:rsidRPr="00C07939" w14:paraId="19B06229" w14:textId="77777777" w:rsidTr="00C07939">
        <w:tc>
          <w:tcPr>
            <w:tcW w:w="1975" w:type="dxa"/>
            <w:vAlign w:val="center"/>
          </w:tcPr>
          <w:p w14:paraId="7D0C8567" w14:textId="77777777" w:rsidR="00C07939" w:rsidRPr="00C07939" w:rsidRDefault="00C07939" w:rsidP="002C18FE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>Institucije</w:t>
            </w:r>
            <w:r w:rsidRPr="00C07939">
              <w:rPr>
                <w:sz w:val="24"/>
                <w:szCs w:val="24"/>
                <w:cs/>
                <w:lang w:val="hr-HR" w:bidi="ta-IN"/>
              </w:rPr>
              <w:t xml:space="preserve"> </w:t>
            </w:r>
            <w:r w:rsidRPr="00C07939">
              <w:rPr>
                <w:sz w:val="24"/>
                <w:szCs w:val="24"/>
                <w:lang w:val="hr-HR"/>
              </w:rPr>
              <w:t>korisnice:</w:t>
            </w:r>
          </w:p>
        </w:tc>
        <w:tc>
          <w:tcPr>
            <w:tcW w:w="8100" w:type="dxa"/>
            <w:vAlign w:val="center"/>
          </w:tcPr>
          <w:p w14:paraId="6466CC02" w14:textId="77777777" w:rsidR="00C07939" w:rsidRPr="00C07939" w:rsidRDefault="00C07939" w:rsidP="00C07939">
            <w:pPr>
              <w:pStyle w:val="NormalWeb"/>
              <w:numPr>
                <w:ilvl w:val="0"/>
                <w:numId w:val="53"/>
              </w:numPr>
              <w:spacing w:before="0" w:beforeAutospacing="0" w:after="0" w:afterAutospacing="0"/>
              <w:ind w:left="346"/>
              <w:rPr>
                <w:rFonts w:ascii="Roboto" w:eastAsia="Roboto" w:hAnsi="Roboto" w:cs="Roboto"/>
                <w:lang w:val="hr-HR" w:eastAsia="pl-PL" w:bidi="pl-PL"/>
              </w:rPr>
            </w:pPr>
            <w:r w:rsidRPr="00C07939">
              <w:rPr>
                <w:rFonts w:ascii="Roboto" w:eastAsia="Roboto" w:hAnsi="Roboto" w:cs="Roboto"/>
                <w:lang w:val="hr-HR" w:eastAsia="pl-PL" w:bidi="pl-PL"/>
              </w:rPr>
              <w:t>Ministarstvo prosvjete</w:t>
            </w:r>
            <w:r w:rsidRPr="00C07939">
              <w:rPr>
                <w:rFonts w:ascii="Roboto" w:eastAsia="Roboto" w:hAnsi="Roboto" w:cs="Roboto"/>
                <w:cs/>
                <w:lang w:val="hr-HR" w:eastAsia="pl-PL" w:bidi="ta-IN"/>
              </w:rPr>
              <w:t xml:space="preserve"> </w:t>
            </w:r>
            <w:r w:rsidRPr="00C07939">
              <w:rPr>
                <w:rFonts w:ascii="Roboto" w:eastAsia="Roboto" w:hAnsi="Roboto" w:cs="Roboto"/>
                <w:cs/>
                <w:lang w:val="hr-HR" w:eastAsia="pl-PL" w:bidi="mr-IN"/>
              </w:rPr>
              <w:t>–</w:t>
            </w:r>
            <w:r w:rsidRPr="00C07939">
              <w:rPr>
                <w:rFonts w:ascii="Roboto" w:eastAsia="Roboto" w:hAnsi="Roboto" w:cs="Roboto"/>
                <w:cs/>
                <w:lang w:val="hr-HR" w:eastAsia="pl-PL" w:bidi="ta-IN"/>
              </w:rPr>
              <w:t xml:space="preserve"> </w:t>
            </w:r>
            <w:r w:rsidRPr="00C07939">
              <w:rPr>
                <w:rFonts w:ascii="Roboto" w:eastAsia="Roboto" w:hAnsi="Roboto" w:cs="Roboto"/>
                <w:lang w:val="hr-HR" w:eastAsia="pl-PL" w:bidi="pl-PL"/>
              </w:rPr>
              <w:t>glavni korisnik</w:t>
            </w:r>
          </w:p>
          <w:p w14:paraId="56AD51DA" w14:textId="77777777" w:rsidR="00C07939" w:rsidRPr="00C07939" w:rsidRDefault="00C07939" w:rsidP="00C07939">
            <w:pPr>
              <w:pStyle w:val="ListParagraph"/>
              <w:widowControl/>
              <w:numPr>
                <w:ilvl w:val="0"/>
                <w:numId w:val="53"/>
              </w:numPr>
              <w:autoSpaceDE/>
              <w:autoSpaceDN/>
              <w:ind w:left="346"/>
              <w:contextualSpacing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 xml:space="preserve">Zavod za školstvo; </w:t>
            </w:r>
          </w:p>
          <w:p w14:paraId="5229EBF7" w14:textId="77777777" w:rsidR="00C07939" w:rsidRPr="00C07939" w:rsidRDefault="00C07939" w:rsidP="00C07939">
            <w:pPr>
              <w:pStyle w:val="ListParagraph"/>
              <w:widowControl/>
              <w:numPr>
                <w:ilvl w:val="0"/>
                <w:numId w:val="53"/>
              </w:numPr>
              <w:autoSpaceDE/>
              <w:autoSpaceDN/>
              <w:ind w:left="346"/>
              <w:contextualSpacing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>Centar za stručno obrazovanje;</w:t>
            </w:r>
          </w:p>
          <w:p w14:paraId="2D4E3F6B" w14:textId="77777777" w:rsidR="00C07939" w:rsidRPr="00C07939" w:rsidRDefault="00C07939" w:rsidP="00C07939">
            <w:pPr>
              <w:pStyle w:val="ListParagraph"/>
              <w:widowControl/>
              <w:numPr>
                <w:ilvl w:val="0"/>
                <w:numId w:val="53"/>
              </w:numPr>
              <w:autoSpaceDE/>
              <w:autoSpaceDN/>
              <w:ind w:left="346"/>
              <w:contextualSpacing/>
              <w:jc w:val="both"/>
              <w:rPr>
                <w:sz w:val="24"/>
                <w:szCs w:val="24"/>
                <w:cs/>
                <w:lang w:val="hr-HR" w:bidi="ta-IN"/>
              </w:rPr>
            </w:pPr>
            <w:r w:rsidRPr="00C07939">
              <w:rPr>
                <w:sz w:val="24"/>
                <w:szCs w:val="24"/>
                <w:lang w:val="hr-HR"/>
              </w:rPr>
              <w:t>Ispitni centar;</w:t>
            </w:r>
            <w:r w:rsidRPr="00C07939">
              <w:rPr>
                <w:sz w:val="24"/>
                <w:szCs w:val="24"/>
                <w:cs/>
                <w:lang w:val="hr-HR" w:bidi="ta-IN"/>
              </w:rPr>
              <w:t xml:space="preserve"> </w:t>
            </w:r>
          </w:p>
          <w:p w14:paraId="2DE3B9CC" w14:textId="77777777" w:rsidR="00C07939" w:rsidRPr="00C07939" w:rsidRDefault="00C07939" w:rsidP="00C07939">
            <w:pPr>
              <w:pStyle w:val="ListParagraph"/>
              <w:widowControl/>
              <w:numPr>
                <w:ilvl w:val="0"/>
                <w:numId w:val="53"/>
              </w:numPr>
              <w:autoSpaceDE/>
              <w:autoSpaceDN/>
              <w:ind w:left="346"/>
              <w:contextualSpacing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 xml:space="preserve">Univerzitet Crne Gore – Filozofski fakultet, Filološki fakultet, Prirodno-matematički fakultet; </w:t>
            </w:r>
          </w:p>
          <w:p w14:paraId="145B9D5B" w14:textId="77777777" w:rsidR="00C07939" w:rsidRPr="00C07939" w:rsidRDefault="00C07939" w:rsidP="00C07939">
            <w:pPr>
              <w:pStyle w:val="ListParagraph"/>
              <w:widowControl/>
              <w:numPr>
                <w:ilvl w:val="0"/>
                <w:numId w:val="53"/>
              </w:numPr>
              <w:autoSpaceDE/>
              <w:autoSpaceDN/>
              <w:ind w:left="346"/>
              <w:contextualSpacing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>osnovne i srednje škole</w:t>
            </w:r>
          </w:p>
        </w:tc>
      </w:tr>
      <w:tr w:rsidR="00C07939" w:rsidRPr="00C07939" w14:paraId="3E9C1860" w14:textId="77777777" w:rsidTr="00C07939">
        <w:tc>
          <w:tcPr>
            <w:tcW w:w="1975" w:type="dxa"/>
            <w:vAlign w:val="center"/>
          </w:tcPr>
          <w:p w14:paraId="1EB277EB" w14:textId="77777777" w:rsidR="00C07939" w:rsidRPr="00C07939" w:rsidRDefault="00C07939" w:rsidP="002C18FE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 xml:space="preserve">Period </w:t>
            </w:r>
            <w:proofErr w:type="spellStart"/>
            <w:r w:rsidRPr="00C07939">
              <w:rPr>
                <w:sz w:val="24"/>
                <w:szCs w:val="24"/>
                <w:lang w:val="hr-HR"/>
              </w:rPr>
              <w:t>sprovedbe</w:t>
            </w:r>
            <w:proofErr w:type="spellEnd"/>
            <w:r w:rsidRPr="00C07939">
              <w:rPr>
                <w:sz w:val="24"/>
                <w:szCs w:val="24"/>
                <w:lang w:val="hr-HR"/>
              </w:rPr>
              <w:t>:</w:t>
            </w:r>
          </w:p>
        </w:tc>
        <w:tc>
          <w:tcPr>
            <w:tcW w:w="8100" w:type="dxa"/>
            <w:vAlign w:val="center"/>
          </w:tcPr>
          <w:p w14:paraId="3FAF2E9D" w14:textId="77777777" w:rsidR="00C07939" w:rsidRPr="00C07939" w:rsidRDefault="00C07939" w:rsidP="002C18FE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>Dvije godine (</w:t>
            </w:r>
            <w:r w:rsidRPr="00C07939">
              <w:rPr>
                <w:sz w:val="24"/>
                <w:szCs w:val="24"/>
                <w:cs/>
                <w:lang w:val="hr-HR" w:bidi="ta-IN"/>
              </w:rPr>
              <w:t xml:space="preserve">30.8.2019. </w:t>
            </w:r>
            <w:r w:rsidRPr="00C07939">
              <w:rPr>
                <w:sz w:val="24"/>
                <w:szCs w:val="24"/>
                <w:cs/>
                <w:lang w:val="hr-HR" w:bidi="mr-IN"/>
              </w:rPr>
              <w:t>–</w:t>
            </w:r>
            <w:r w:rsidRPr="00C07939">
              <w:rPr>
                <w:sz w:val="24"/>
                <w:szCs w:val="24"/>
                <w:cs/>
                <w:lang w:val="hr-HR" w:bidi="ta-IN"/>
              </w:rPr>
              <w:t xml:space="preserve"> 29.8.2021.)</w:t>
            </w:r>
          </w:p>
        </w:tc>
      </w:tr>
      <w:tr w:rsidR="00C07939" w:rsidRPr="00C07939" w14:paraId="1DAEF208" w14:textId="77777777" w:rsidTr="00C07939">
        <w:tc>
          <w:tcPr>
            <w:tcW w:w="1975" w:type="dxa"/>
            <w:vAlign w:val="center"/>
          </w:tcPr>
          <w:p w14:paraId="055FDE77" w14:textId="77777777" w:rsidR="00C07939" w:rsidRPr="00C07939" w:rsidRDefault="00C07939" w:rsidP="002C18FE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>Ukupan budžet:</w:t>
            </w:r>
          </w:p>
        </w:tc>
        <w:tc>
          <w:tcPr>
            <w:tcW w:w="8100" w:type="dxa"/>
            <w:vAlign w:val="center"/>
          </w:tcPr>
          <w:p w14:paraId="49E62890" w14:textId="77777777" w:rsidR="00C07939" w:rsidRPr="00C07939" w:rsidRDefault="00C07939" w:rsidP="002C18FE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cs/>
                <w:lang w:val="hr-HR" w:bidi="ta-IN"/>
              </w:rPr>
              <w:t>939</w:t>
            </w:r>
            <w:r w:rsidRPr="00C07939">
              <w:rPr>
                <w:sz w:val="24"/>
                <w:szCs w:val="24"/>
                <w:lang w:val="hr-HR"/>
              </w:rPr>
              <w:t>,</w:t>
            </w:r>
            <w:r w:rsidRPr="00C07939">
              <w:rPr>
                <w:sz w:val="24"/>
                <w:szCs w:val="24"/>
                <w:cs/>
                <w:lang w:val="hr-HR" w:bidi="ta-IN"/>
              </w:rPr>
              <w:t xml:space="preserve">779.70 </w:t>
            </w:r>
            <w:r w:rsidRPr="00C07939">
              <w:rPr>
                <w:sz w:val="24"/>
                <w:szCs w:val="24"/>
                <w:lang w:val="hr-HR"/>
              </w:rPr>
              <w:t>€ (85% EU, 15% Vlada Crne Gore)</w:t>
            </w:r>
          </w:p>
        </w:tc>
      </w:tr>
      <w:tr w:rsidR="00C07939" w:rsidRPr="00C07939" w14:paraId="1BA64736" w14:textId="77777777" w:rsidTr="00C07939">
        <w:tc>
          <w:tcPr>
            <w:tcW w:w="1975" w:type="dxa"/>
            <w:vAlign w:val="center"/>
          </w:tcPr>
          <w:p w14:paraId="5B87EEF4" w14:textId="77777777" w:rsidR="00C07939" w:rsidRPr="00C07939" w:rsidRDefault="00C07939" w:rsidP="00C07939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>Opšti cilj Projekta:</w:t>
            </w:r>
          </w:p>
        </w:tc>
        <w:tc>
          <w:tcPr>
            <w:tcW w:w="8100" w:type="dxa"/>
          </w:tcPr>
          <w:p w14:paraId="08E6DC83" w14:textId="77777777" w:rsidR="00C07939" w:rsidRPr="00C07939" w:rsidRDefault="00C07939" w:rsidP="00C07939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 xml:space="preserve">Poboljšati </w:t>
            </w:r>
            <w:proofErr w:type="spellStart"/>
            <w:r w:rsidRPr="00C07939">
              <w:rPr>
                <w:sz w:val="24"/>
                <w:szCs w:val="24"/>
                <w:lang w:val="hr-HR"/>
              </w:rPr>
              <w:t>kvalitet</w:t>
            </w:r>
            <w:proofErr w:type="spellEnd"/>
            <w:r w:rsidRPr="00C07939">
              <w:rPr>
                <w:sz w:val="24"/>
                <w:szCs w:val="24"/>
                <w:lang w:val="hr-HR"/>
              </w:rPr>
              <w:t xml:space="preserve"> pružanja osnovnog i srednjeg obrazovanja i podrška inicijalnoj obuci nastavnika, kontinuiranom profesionalnom razvoju nastavnika i </w:t>
            </w:r>
            <w:proofErr w:type="spellStart"/>
            <w:r w:rsidRPr="00C07939">
              <w:rPr>
                <w:sz w:val="24"/>
                <w:szCs w:val="24"/>
                <w:lang w:val="hr-HR"/>
              </w:rPr>
              <w:t>osguranje</w:t>
            </w:r>
            <w:proofErr w:type="spellEnd"/>
            <w:r w:rsidRPr="00C07939">
              <w:rPr>
                <w:sz w:val="24"/>
                <w:szCs w:val="24"/>
                <w:lang w:val="hr-HR"/>
              </w:rPr>
              <w:t xml:space="preserve"> kvaliteta na nivou osnovnog, srednjeg i visokog obrazovanja.</w:t>
            </w:r>
          </w:p>
        </w:tc>
      </w:tr>
      <w:tr w:rsidR="00C07939" w:rsidRPr="00C07939" w14:paraId="4963DBD0" w14:textId="77777777" w:rsidTr="00C07939">
        <w:tc>
          <w:tcPr>
            <w:tcW w:w="1975" w:type="dxa"/>
            <w:vAlign w:val="center"/>
          </w:tcPr>
          <w:p w14:paraId="5506B03E" w14:textId="77777777" w:rsidR="00C07939" w:rsidRPr="00C07939" w:rsidRDefault="00C07939" w:rsidP="00C07939">
            <w:pPr>
              <w:spacing w:before="100" w:after="100" w:line="276" w:lineRule="auto"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>Svrha Projekta:</w:t>
            </w:r>
          </w:p>
        </w:tc>
        <w:tc>
          <w:tcPr>
            <w:tcW w:w="8100" w:type="dxa"/>
          </w:tcPr>
          <w:p w14:paraId="7CA41B41" w14:textId="77777777" w:rsidR="00C07939" w:rsidRPr="00C07939" w:rsidRDefault="00C07939" w:rsidP="00C07939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spacing w:before="100" w:after="100" w:line="276" w:lineRule="auto"/>
              <w:ind w:left="340"/>
              <w:contextualSpacing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>Poboljšanje dostignuća učenika u vezi sa ključnim kompetencijama za cjeloživotno učenje i kvalitetom rada i nastave osnovnog i srednjeg obrazovanja;</w:t>
            </w:r>
          </w:p>
          <w:p w14:paraId="3EB6798F" w14:textId="77777777" w:rsidR="00C07939" w:rsidRPr="00C07939" w:rsidRDefault="00C07939" w:rsidP="00C07939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spacing w:before="100" w:after="100" w:line="276" w:lineRule="auto"/>
              <w:ind w:left="340"/>
              <w:contextualSpacing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lastRenderedPageBreak/>
              <w:t>Unapređenje sistema osiguranja kvaliteta na svim nivoima;</w:t>
            </w:r>
          </w:p>
          <w:p w14:paraId="796240FB" w14:textId="77777777" w:rsidR="00C07939" w:rsidRPr="00C07939" w:rsidRDefault="00C07939" w:rsidP="00C07939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spacing w:before="100" w:after="100" w:line="276" w:lineRule="auto"/>
              <w:ind w:left="340"/>
              <w:contextualSpacing/>
              <w:jc w:val="both"/>
              <w:rPr>
                <w:sz w:val="24"/>
                <w:szCs w:val="24"/>
                <w:lang w:val="hr-HR"/>
              </w:rPr>
            </w:pPr>
            <w:r w:rsidRPr="00C07939">
              <w:rPr>
                <w:sz w:val="24"/>
                <w:szCs w:val="24"/>
                <w:lang w:val="hr-HR"/>
              </w:rPr>
              <w:t>Razvijanje obrazovanja i profesionalne kompetencije nastavnika kako u inicijalnom obrazovanju nastavnika, tako i u kontinuiranom profesionalnom razvoju u pogledu integracije ključnih kompetencija u učenju sa posebnim fokusom na MINT discipline.</w:t>
            </w:r>
          </w:p>
        </w:tc>
      </w:tr>
    </w:tbl>
    <w:p w14:paraId="16F49381" w14:textId="77777777" w:rsidR="00C07939" w:rsidRPr="00C07939" w:rsidRDefault="00C07939" w:rsidP="00C07939">
      <w:p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lastRenderedPageBreak/>
        <w:t xml:space="preserve">Ključno </w:t>
      </w:r>
      <w:proofErr w:type="spellStart"/>
      <w:r w:rsidRPr="00C07939">
        <w:rPr>
          <w:sz w:val="24"/>
          <w:szCs w:val="24"/>
          <w:lang w:val="hr-HR"/>
        </w:rPr>
        <w:t>sprovedbeno</w:t>
      </w:r>
      <w:proofErr w:type="spellEnd"/>
      <w:r w:rsidRPr="00C07939">
        <w:rPr>
          <w:sz w:val="24"/>
          <w:szCs w:val="24"/>
          <w:lang w:val="hr-HR"/>
        </w:rPr>
        <w:t xml:space="preserve"> tijelo Projekta je </w:t>
      </w:r>
      <w:r w:rsidRPr="00C07939">
        <w:rPr>
          <w:b/>
          <w:bCs/>
          <w:sz w:val="24"/>
          <w:szCs w:val="24"/>
          <w:lang w:val="hr-HR"/>
        </w:rPr>
        <w:t>Projektni tim</w:t>
      </w:r>
      <w:r w:rsidRPr="00C07939">
        <w:rPr>
          <w:sz w:val="24"/>
          <w:szCs w:val="24"/>
          <w:lang w:val="hr-HR"/>
        </w:rPr>
        <w:t xml:space="preserve">, sastavljen od predstavnika institucija korisnica. Projektni tim ima 16 članova (četiri predstavnika Ministarstva Prosvjete, pet predstavnika Zavoda za školstvo, dva predstavnika Prirodno-matematičkog fakulteta, te po jedan predstavnik Centra za stručno obrazovanje, Ispitnog centra, Filozofskog fakulteta, Filološkog fakulteta i Agencija za </w:t>
      </w:r>
      <w:proofErr w:type="spellStart"/>
      <w:r w:rsidRPr="00C07939">
        <w:rPr>
          <w:sz w:val="24"/>
          <w:szCs w:val="24"/>
          <w:lang w:val="hr-HR"/>
        </w:rPr>
        <w:t>obezbjeđivanje</w:t>
      </w:r>
      <w:proofErr w:type="spellEnd"/>
      <w:r w:rsidRPr="00C07939">
        <w:rPr>
          <w:sz w:val="24"/>
          <w:szCs w:val="24"/>
          <w:lang w:val="hr-HR"/>
        </w:rPr>
        <w:t xml:space="preserve"> i kontrolu kvaliteta).</w:t>
      </w:r>
    </w:p>
    <w:p w14:paraId="3FCB86A4" w14:textId="77777777" w:rsidR="00C07939" w:rsidRPr="00C07939" w:rsidRDefault="00C07939" w:rsidP="00C07939">
      <w:p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>Projekt ima pet komponenti, od kojih u okviru Komponente 2 Razvoj kurikuluma predviđena aktivnost 2.6: Pilot revizija studijskog programa matematike u pogledu pedagoških i psiholoških, didaktičkih i metodoloških aspekata i sadržaja, sa fokusom na inovativnu nastavnu pedagogiju i MINT kompetencije. Dakle, fokus Projekta, prema generalnom opisu zadatka, bi trebao biti samo na jednom studijskom programu koji obrazuje (i) nastavnike.</w:t>
      </w:r>
    </w:p>
    <w:p w14:paraId="183A0B5E" w14:textId="1A75DF33" w:rsidR="009E3B15" w:rsidRPr="00C07939" w:rsidRDefault="00C07939" w:rsidP="00C07939">
      <w:p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 xml:space="preserve">S jedne strane bi se takvim pristupom tek neznatno </w:t>
      </w:r>
      <w:proofErr w:type="spellStart"/>
      <w:r w:rsidRPr="00C07939">
        <w:rPr>
          <w:sz w:val="24"/>
          <w:szCs w:val="24"/>
          <w:lang w:val="hr-HR"/>
        </w:rPr>
        <w:t>kontribuiralo</w:t>
      </w:r>
      <w:proofErr w:type="spellEnd"/>
      <w:r w:rsidRPr="00C07939">
        <w:rPr>
          <w:sz w:val="24"/>
          <w:szCs w:val="24"/>
          <w:lang w:val="hr-HR"/>
        </w:rPr>
        <w:t xml:space="preserve"> </w:t>
      </w:r>
      <w:proofErr w:type="spellStart"/>
      <w:r w:rsidRPr="00C07939">
        <w:rPr>
          <w:sz w:val="24"/>
          <w:szCs w:val="24"/>
          <w:lang w:val="hr-HR"/>
        </w:rPr>
        <w:t>opštem</w:t>
      </w:r>
      <w:proofErr w:type="spellEnd"/>
      <w:r w:rsidRPr="00C07939">
        <w:rPr>
          <w:sz w:val="24"/>
          <w:szCs w:val="24"/>
          <w:lang w:val="hr-HR"/>
        </w:rPr>
        <w:t xml:space="preserve"> cilju i svrsi Projekta, dok bi s druge strane postojao realni rizik se pilot verzija revidiranog studijskog programa i razrađeni model „zastupljenosti pedagoško-psihološke i didaktičko-metodičke grupe predmeta“ ne bude prihvatljiv ostalim studijskim programima i fakultetima koji obrazuju nastavnike na Univerzitetu Crne Gore, te da implementacija Strategije obrazovanja nastavnika donese drugačiji model. Zbog toga je Projekt odlučio </w:t>
      </w:r>
      <w:proofErr w:type="spellStart"/>
      <w:r w:rsidRPr="00C07939">
        <w:rPr>
          <w:sz w:val="24"/>
          <w:szCs w:val="24"/>
          <w:lang w:val="hr-HR"/>
        </w:rPr>
        <w:t>modifikovati</w:t>
      </w:r>
      <w:proofErr w:type="spellEnd"/>
      <w:r w:rsidRPr="00C07939">
        <w:rPr>
          <w:sz w:val="24"/>
          <w:szCs w:val="24"/>
          <w:lang w:val="hr-HR"/>
        </w:rPr>
        <w:t xml:space="preserve"> implementaciju ove aktivnosti i fokusirati se integralno na mjere i aktivnosti predviđene Strategijom.</w:t>
      </w:r>
    </w:p>
    <w:p w14:paraId="2EC71385" w14:textId="675D079F" w:rsidR="00A542C5" w:rsidRPr="006B12F2" w:rsidRDefault="00C07939" w:rsidP="00A542C5">
      <w:pPr>
        <w:pStyle w:val="Heading1"/>
        <w:numPr>
          <w:ilvl w:val="0"/>
          <w:numId w:val="2"/>
        </w:numPr>
        <w:jc w:val="left"/>
        <w:rPr>
          <w:rFonts w:ascii="Arial" w:hAnsi="Arial" w:cs="Arial"/>
          <w:sz w:val="28"/>
          <w:szCs w:val="28"/>
        </w:rPr>
      </w:pPr>
      <w:bookmarkStart w:id="2" w:name="_Toc52728928"/>
      <w:r w:rsidRPr="00C07939">
        <w:rPr>
          <w:rFonts w:ascii="Arial" w:hAnsi="Arial" w:cs="Arial"/>
          <w:sz w:val="28"/>
          <w:szCs w:val="28"/>
        </w:rPr>
        <w:t>Prijedlog aktivnosti</w:t>
      </w:r>
      <w:bookmarkEnd w:id="2"/>
      <w:r w:rsidR="00AB1FFD" w:rsidRPr="006B12F2">
        <w:rPr>
          <w:rFonts w:ascii="Arial" w:hAnsi="Arial" w:cs="Arial"/>
          <w:sz w:val="28"/>
          <w:szCs w:val="28"/>
        </w:rPr>
        <w:t xml:space="preserve"> </w:t>
      </w:r>
    </w:p>
    <w:p w14:paraId="29DF24CD" w14:textId="3C38454E" w:rsidR="00C07939" w:rsidRDefault="00C07939" w:rsidP="00E640BC">
      <w:pPr>
        <w:spacing w:before="100" w:after="100" w:line="276" w:lineRule="auto"/>
        <w:jc w:val="both"/>
        <w:rPr>
          <w:sz w:val="24"/>
          <w:szCs w:val="24"/>
          <w:lang w:val="hr-HR"/>
        </w:rPr>
      </w:pPr>
      <w:r w:rsidRPr="00C07939">
        <w:rPr>
          <w:sz w:val="24"/>
          <w:szCs w:val="24"/>
          <w:lang w:val="hr-HR"/>
        </w:rPr>
        <w:t xml:space="preserve">Da bi se sprovele mjere iz </w:t>
      </w:r>
      <w:proofErr w:type="spellStart"/>
      <w:r w:rsidRPr="00C07939">
        <w:rPr>
          <w:sz w:val="24"/>
          <w:szCs w:val="24"/>
          <w:lang w:val="hr-HR"/>
        </w:rPr>
        <w:t>Startegije</w:t>
      </w:r>
      <w:proofErr w:type="spellEnd"/>
      <w:r w:rsidRPr="00C07939">
        <w:rPr>
          <w:sz w:val="24"/>
          <w:szCs w:val="24"/>
          <w:lang w:val="hr-HR"/>
        </w:rPr>
        <w:t xml:space="preserve"> obrazovanja nastavnika potrebno je</w:t>
      </w:r>
      <w:r w:rsidR="00E640BC">
        <w:rPr>
          <w:sz w:val="24"/>
          <w:szCs w:val="24"/>
          <w:lang w:val="hr-HR"/>
        </w:rPr>
        <w:t xml:space="preserve"> i</w:t>
      </w:r>
      <w:r w:rsidR="00E640BC" w:rsidRPr="00C07939">
        <w:rPr>
          <w:sz w:val="24"/>
          <w:szCs w:val="24"/>
          <w:lang w:val="hr-HR"/>
        </w:rPr>
        <w:t xml:space="preserve">zraditi </w:t>
      </w:r>
      <w:r w:rsidRPr="00C07939">
        <w:rPr>
          <w:b/>
          <w:bCs/>
          <w:sz w:val="24"/>
          <w:szCs w:val="24"/>
          <w:lang w:val="hr-HR"/>
        </w:rPr>
        <w:t>dva modula nastavničkih kompetencija</w:t>
      </w:r>
      <w:r w:rsidRPr="00C07939">
        <w:rPr>
          <w:sz w:val="24"/>
          <w:szCs w:val="24"/>
          <w:lang w:val="hr-HR"/>
        </w:rPr>
        <w:t xml:space="preserve"> kao dio studijskih programa – svaki po 30 ECTS (za po jedan ciklus studija)</w:t>
      </w:r>
      <w:r w:rsidR="00E640BC">
        <w:rPr>
          <w:sz w:val="24"/>
          <w:szCs w:val="24"/>
          <w:lang w:val="hr-HR"/>
        </w:rPr>
        <w:t>, na bazi Standarda nastavničke kompetencije</w:t>
      </w:r>
      <w:r w:rsidRPr="00C07939">
        <w:rPr>
          <w:sz w:val="24"/>
          <w:szCs w:val="24"/>
          <w:lang w:val="hr-HR"/>
        </w:rPr>
        <w:t xml:space="preserve">. </w:t>
      </w:r>
      <w:r w:rsidR="00E640BC">
        <w:rPr>
          <w:sz w:val="24"/>
          <w:szCs w:val="24"/>
          <w:lang w:val="hr-HR"/>
        </w:rPr>
        <w:t>Moduli bi trebali</w:t>
      </w:r>
      <w:r w:rsidRPr="00C07939">
        <w:rPr>
          <w:sz w:val="24"/>
          <w:szCs w:val="24"/>
          <w:lang w:val="hr-HR"/>
        </w:rPr>
        <w:t xml:space="preserve"> „pokrivati“ ishode učenja iz standarda kompetencija i biti </w:t>
      </w:r>
      <w:proofErr w:type="spellStart"/>
      <w:r w:rsidRPr="00C07939">
        <w:rPr>
          <w:sz w:val="24"/>
          <w:szCs w:val="24"/>
          <w:lang w:val="hr-HR"/>
        </w:rPr>
        <w:t>strukturisan</w:t>
      </w:r>
      <w:r w:rsidR="00E640BC">
        <w:rPr>
          <w:sz w:val="24"/>
          <w:szCs w:val="24"/>
          <w:lang w:val="hr-HR"/>
        </w:rPr>
        <w:t>i</w:t>
      </w:r>
      <w:proofErr w:type="spellEnd"/>
      <w:r w:rsidRPr="00C07939">
        <w:rPr>
          <w:sz w:val="24"/>
          <w:szCs w:val="24"/>
          <w:lang w:val="hr-HR"/>
        </w:rPr>
        <w:t xml:space="preserve"> prema strukturi studijskih programa na Univerzitetu Crne Gore. </w:t>
      </w:r>
      <w:r w:rsidR="00E640BC" w:rsidRPr="00C07939">
        <w:rPr>
          <w:sz w:val="24"/>
          <w:szCs w:val="24"/>
          <w:lang w:val="hr-HR"/>
        </w:rPr>
        <w:t>Mo</w:t>
      </w:r>
      <w:r w:rsidR="00E640BC">
        <w:rPr>
          <w:sz w:val="24"/>
          <w:szCs w:val="24"/>
          <w:lang w:val="hr-HR"/>
        </w:rPr>
        <w:t>gu</w:t>
      </w:r>
      <w:r w:rsidR="00E640BC" w:rsidRPr="00C07939">
        <w:rPr>
          <w:sz w:val="24"/>
          <w:szCs w:val="24"/>
          <w:lang w:val="hr-HR"/>
        </w:rPr>
        <w:t xml:space="preserve"> </w:t>
      </w:r>
      <w:r w:rsidRPr="00C07939">
        <w:rPr>
          <w:sz w:val="24"/>
          <w:szCs w:val="24"/>
          <w:lang w:val="hr-HR"/>
        </w:rPr>
        <w:t xml:space="preserve">sadržavati: matricu ishoda učenja, listu predmeta, ishode učenja po predmetima, opis svakog od predmeta (kurs, </w:t>
      </w:r>
      <w:proofErr w:type="spellStart"/>
      <w:r w:rsidRPr="00C07939">
        <w:rPr>
          <w:sz w:val="24"/>
          <w:szCs w:val="24"/>
          <w:lang w:val="hr-HR"/>
        </w:rPr>
        <w:t>silabus</w:t>
      </w:r>
      <w:proofErr w:type="spellEnd"/>
      <w:r w:rsidRPr="00C07939">
        <w:rPr>
          <w:sz w:val="24"/>
          <w:szCs w:val="24"/>
          <w:lang w:val="hr-HR"/>
        </w:rPr>
        <w:t>), opis izvođenja, metode i oblike rada, način provjere dostignutosti ishoda učenja, popis literature i sl.</w:t>
      </w:r>
    </w:p>
    <w:p w14:paraId="38C32A38" w14:textId="7879A3E9" w:rsidR="00E640BC" w:rsidRPr="003D790A" w:rsidRDefault="00E640BC" w:rsidP="003D790A">
      <w:pPr>
        <w:spacing w:before="100" w:after="100" w:line="276" w:lineRule="auto"/>
        <w:jc w:val="both"/>
        <w:rPr>
          <w:b/>
          <w:bCs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Kako bi se ti moduli uistinu i inkorporirali u studijske programe na kojima se obavlja inicijalno obrazovanje nastavnika na Univerzitetu Crne Gore, potrebno je </w:t>
      </w:r>
      <w:r w:rsidRPr="003D790A">
        <w:rPr>
          <w:b/>
          <w:bCs/>
          <w:sz w:val="24"/>
          <w:szCs w:val="24"/>
          <w:lang w:val="hr-HR"/>
        </w:rPr>
        <w:t xml:space="preserve">Standarde kompetencija nastavnika povezati s nacionalnim sistemom osiguranja </w:t>
      </w:r>
      <w:proofErr w:type="spellStart"/>
      <w:r w:rsidRPr="003D790A">
        <w:rPr>
          <w:b/>
          <w:bCs/>
          <w:sz w:val="24"/>
          <w:szCs w:val="24"/>
          <w:lang w:val="hr-HR"/>
        </w:rPr>
        <w:t>kvalitea</w:t>
      </w:r>
      <w:proofErr w:type="spellEnd"/>
      <w:r>
        <w:rPr>
          <w:sz w:val="24"/>
          <w:szCs w:val="24"/>
          <w:lang w:val="hr-HR"/>
        </w:rPr>
        <w:t>.</w:t>
      </w:r>
      <w:r>
        <w:rPr>
          <w:b/>
          <w:bCs/>
          <w:sz w:val="24"/>
          <w:szCs w:val="24"/>
          <w:lang w:val="hr-HR"/>
        </w:rPr>
        <w:t xml:space="preserve"> </w:t>
      </w:r>
      <w:r w:rsidRPr="003D790A">
        <w:rPr>
          <w:sz w:val="24"/>
          <w:szCs w:val="24"/>
          <w:lang w:val="hr-HR"/>
        </w:rPr>
        <w:t xml:space="preserve">Moguće </w:t>
      </w:r>
      <w:r>
        <w:rPr>
          <w:sz w:val="24"/>
          <w:szCs w:val="24"/>
          <w:lang w:val="hr-HR"/>
        </w:rPr>
        <w:t xml:space="preserve">je izraditi dodatni standard za akreditaciju studijskih programa koji daju kvalifikaciju nastavnika, na bazi razvijenih standarda kompetencija nastavnika. Ova bi se aktivnost </w:t>
      </w:r>
      <w:proofErr w:type="spellStart"/>
      <w:r>
        <w:rPr>
          <w:sz w:val="24"/>
          <w:szCs w:val="24"/>
          <w:lang w:val="hr-HR"/>
        </w:rPr>
        <w:t>providla</w:t>
      </w:r>
      <w:proofErr w:type="spellEnd"/>
      <w:r>
        <w:rPr>
          <w:sz w:val="24"/>
          <w:szCs w:val="24"/>
          <w:lang w:val="hr-HR"/>
        </w:rPr>
        <w:t xml:space="preserve"> u saradnji s Agencijom za kontrolu i </w:t>
      </w:r>
      <w:proofErr w:type="spellStart"/>
      <w:r>
        <w:rPr>
          <w:sz w:val="24"/>
          <w:szCs w:val="24"/>
          <w:lang w:val="hr-HR"/>
        </w:rPr>
        <w:t>obezbjeđenje</w:t>
      </w:r>
      <w:proofErr w:type="spellEnd"/>
      <w:r>
        <w:rPr>
          <w:sz w:val="24"/>
          <w:szCs w:val="24"/>
          <w:lang w:val="hr-HR"/>
        </w:rPr>
        <w:t xml:space="preserve"> kvaliteta, stvarno </w:t>
      </w:r>
      <w:proofErr w:type="spellStart"/>
      <w:r>
        <w:rPr>
          <w:sz w:val="24"/>
          <w:szCs w:val="24"/>
          <w:lang w:val="hr-HR"/>
        </w:rPr>
        <w:t>nadlećnim</w:t>
      </w:r>
      <w:proofErr w:type="spellEnd"/>
      <w:r>
        <w:rPr>
          <w:sz w:val="24"/>
          <w:szCs w:val="24"/>
          <w:lang w:val="hr-HR"/>
        </w:rPr>
        <w:t xml:space="preserve"> tijelom za nacionalni sistem kvaliteta u visokom obrazovanju.</w:t>
      </w:r>
    </w:p>
    <w:p w14:paraId="00302434" w14:textId="55C78824" w:rsidR="001F7198" w:rsidRPr="00E640BC" w:rsidRDefault="00E640BC" w:rsidP="003D790A">
      <w:pPr>
        <w:widowControl/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3D790A">
        <w:rPr>
          <w:sz w:val="24"/>
          <w:szCs w:val="24"/>
          <w:lang w:val="hr-HR"/>
        </w:rPr>
        <w:lastRenderedPageBreak/>
        <w:t xml:space="preserve">Također je moguće </w:t>
      </w:r>
      <w:r>
        <w:rPr>
          <w:b/>
          <w:bCs/>
          <w:sz w:val="24"/>
          <w:szCs w:val="24"/>
          <w:lang w:val="hr-HR"/>
        </w:rPr>
        <w:t>r</w:t>
      </w:r>
      <w:r w:rsidRPr="003D790A">
        <w:rPr>
          <w:b/>
          <w:bCs/>
          <w:sz w:val="24"/>
          <w:szCs w:val="24"/>
          <w:lang w:val="hr-HR"/>
        </w:rPr>
        <w:t xml:space="preserve">azviti </w:t>
      </w:r>
      <w:r w:rsidR="00C07939" w:rsidRPr="003D790A">
        <w:rPr>
          <w:b/>
          <w:bCs/>
          <w:sz w:val="24"/>
          <w:szCs w:val="24"/>
          <w:lang w:val="hr-HR"/>
        </w:rPr>
        <w:t>model saradnje između fakulteta na Univerzitetu Crne Gore koji obrazuju nastavnike i poslodavaca njihovih diplomaca</w:t>
      </w:r>
      <w:r w:rsidR="00C07939" w:rsidRPr="003D790A">
        <w:rPr>
          <w:sz w:val="24"/>
          <w:szCs w:val="24"/>
          <w:lang w:val="hr-HR"/>
        </w:rPr>
        <w:t xml:space="preserve">: Bilo bi logično ovu saradnju </w:t>
      </w:r>
      <w:proofErr w:type="spellStart"/>
      <w:r w:rsidR="00C07939" w:rsidRPr="003D790A">
        <w:rPr>
          <w:sz w:val="24"/>
          <w:szCs w:val="24"/>
          <w:lang w:val="hr-HR"/>
        </w:rPr>
        <w:t>strukturisati</w:t>
      </w:r>
      <w:proofErr w:type="spellEnd"/>
      <w:r w:rsidR="00C07939" w:rsidRPr="003D790A">
        <w:rPr>
          <w:sz w:val="24"/>
          <w:szCs w:val="24"/>
          <w:lang w:val="hr-HR"/>
        </w:rPr>
        <w:t xml:space="preserve"> putem Zavoda za školstvo i Centra za stručno obrazovanje. Saradnja se može uspostaviti dugoročnim sporazumom, a fokus bi bio na metodičkoj praksi studenata u osnovnim i srednjim školama.</w:t>
      </w:r>
    </w:p>
    <w:p w14:paraId="5BF6ABC4" w14:textId="04FD32F4" w:rsidR="00AA0D31" w:rsidRPr="003D790A" w:rsidRDefault="00C07939" w:rsidP="003D790A">
      <w:pPr>
        <w:widowControl/>
        <w:autoSpaceDE/>
        <w:autoSpaceDN/>
        <w:spacing w:before="100" w:after="100" w:line="276" w:lineRule="auto"/>
        <w:contextualSpacing/>
        <w:jc w:val="both"/>
        <w:rPr>
          <w:sz w:val="24"/>
          <w:szCs w:val="24"/>
          <w:lang w:val="hr-HR"/>
        </w:rPr>
      </w:pPr>
      <w:r w:rsidRPr="003D790A">
        <w:rPr>
          <w:sz w:val="24"/>
          <w:szCs w:val="24"/>
          <w:lang w:val="hr-HR"/>
        </w:rPr>
        <w:t>Za realizaciju ovih aktivnosti potrebno je najprije zadobiti potporu ključnih aktera visokog obrazovanja (Direkcije za visoko obrazovanje Crne Gore, Savjeta za visoko obrazovanje, Univerziteta Crne Gore</w:t>
      </w:r>
      <w:r w:rsidR="00AA0D31" w:rsidRPr="003D790A">
        <w:rPr>
          <w:sz w:val="24"/>
          <w:szCs w:val="24"/>
          <w:lang w:val="hr-HR"/>
        </w:rPr>
        <w:t xml:space="preserve">, Agencije za </w:t>
      </w:r>
      <w:proofErr w:type="spellStart"/>
      <w:r w:rsidR="00AA0D31" w:rsidRPr="003D790A">
        <w:rPr>
          <w:sz w:val="24"/>
          <w:szCs w:val="24"/>
          <w:lang w:val="hr-HR"/>
        </w:rPr>
        <w:t>obezbjeđivanje</w:t>
      </w:r>
      <w:proofErr w:type="spellEnd"/>
      <w:r w:rsidR="00AA0D31" w:rsidRPr="003D790A">
        <w:rPr>
          <w:sz w:val="24"/>
          <w:szCs w:val="24"/>
          <w:lang w:val="hr-HR"/>
        </w:rPr>
        <w:t xml:space="preserve"> i kontrolu kvaliteta</w:t>
      </w:r>
      <w:r w:rsidRPr="003D790A">
        <w:rPr>
          <w:sz w:val="24"/>
          <w:szCs w:val="24"/>
          <w:lang w:val="hr-HR"/>
        </w:rPr>
        <w:t>)</w:t>
      </w:r>
      <w:r w:rsidR="00AA0D31" w:rsidRPr="003D790A">
        <w:rPr>
          <w:sz w:val="24"/>
          <w:szCs w:val="24"/>
          <w:lang w:val="hr-HR"/>
        </w:rPr>
        <w:t xml:space="preserve">, te Upravnog odbora Projekta. Projekt bi, uz saradnju institucija </w:t>
      </w:r>
      <w:proofErr w:type="spellStart"/>
      <w:r w:rsidR="00AA0D31" w:rsidRPr="003D790A">
        <w:rPr>
          <w:sz w:val="24"/>
          <w:szCs w:val="24"/>
          <w:lang w:val="hr-HR"/>
        </w:rPr>
        <w:t>korsinica</w:t>
      </w:r>
      <w:proofErr w:type="spellEnd"/>
      <w:r w:rsidR="00AA0D31" w:rsidRPr="003D790A">
        <w:rPr>
          <w:sz w:val="24"/>
          <w:szCs w:val="24"/>
          <w:lang w:val="hr-HR"/>
        </w:rPr>
        <w:t xml:space="preserve">, </w:t>
      </w:r>
      <w:proofErr w:type="spellStart"/>
      <w:r w:rsidR="00AA0D31" w:rsidRPr="003D790A">
        <w:rPr>
          <w:sz w:val="24"/>
          <w:szCs w:val="24"/>
          <w:lang w:val="hr-HR"/>
        </w:rPr>
        <w:t>identifikovao</w:t>
      </w:r>
      <w:proofErr w:type="spellEnd"/>
      <w:r w:rsidR="00AA0D31" w:rsidRPr="003D790A">
        <w:rPr>
          <w:sz w:val="24"/>
          <w:szCs w:val="24"/>
          <w:lang w:val="hr-HR"/>
        </w:rPr>
        <w:t xml:space="preserve"> i </w:t>
      </w:r>
      <w:proofErr w:type="spellStart"/>
      <w:r w:rsidR="00AA0D31" w:rsidRPr="003D790A">
        <w:rPr>
          <w:sz w:val="24"/>
          <w:szCs w:val="24"/>
          <w:lang w:val="hr-HR"/>
        </w:rPr>
        <w:t>angažovao</w:t>
      </w:r>
      <w:proofErr w:type="spellEnd"/>
      <w:r w:rsidR="00AA0D31" w:rsidRPr="003D790A">
        <w:rPr>
          <w:sz w:val="24"/>
          <w:szCs w:val="24"/>
          <w:lang w:val="hr-HR"/>
        </w:rPr>
        <w:t xml:space="preserve"> eksperte koji bi podržali proces. </w:t>
      </w:r>
      <w:proofErr w:type="spellStart"/>
      <w:r w:rsidR="00AA0D31" w:rsidRPr="003D790A">
        <w:rPr>
          <w:sz w:val="24"/>
          <w:szCs w:val="24"/>
          <w:lang w:val="hr-HR"/>
        </w:rPr>
        <w:t>Matreijale</w:t>
      </w:r>
      <w:proofErr w:type="spellEnd"/>
      <w:r w:rsidR="00AA0D31" w:rsidRPr="003D790A">
        <w:rPr>
          <w:sz w:val="24"/>
          <w:szCs w:val="24"/>
          <w:lang w:val="hr-HR"/>
        </w:rPr>
        <w:t xml:space="preserve"> bi izrađivale grupe sastavljene od predstavnika institucija </w:t>
      </w:r>
      <w:proofErr w:type="spellStart"/>
      <w:r w:rsidR="00AA0D31" w:rsidRPr="003D790A">
        <w:rPr>
          <w:sz w:val="24"/>
          <w:szCs w:val="24"/>
          <w:lang w:val="hr-HR"/>
        </w:rPr>
        <w:t>korsinica</w:t>
      </w:r>
      <w:proofErr w:type="spellEnd"/>
      <w:r w:rsidR="00A17EEA" w:rsidRPr="003D790A">
        <w:rPr>
          <w:sz w:val="24"/>
          <w:szCs w:val="24"/>
          <w:lang w:val="hr-HR"/>
        </w:rPr>
        <w:t xml:space="preserve">. </w:t>
      </w:r>
      <w:r w:rsidR="00AA0D31" w:rsidRPr="003D790A">
        <w:rPr>
          <w:sz w:val="24"/>
          <w:szCs w:val="24"/>
          <w:lang w:val="hr-HR"/>
        </w:rPr>
        <w:t xml:space="preserve">Za razvoj modula nastavničkih kompetencija bi trebalo formirati grupu u koju bi članove </w:t>
      </w:r>
      <w:proofErr w:type="spellStart"/>
      <w:r w:rsidR="00AA0D31" w:rsidRPr="003D790A">
        <w:rPr>
          <w:sz w:val="24"/>
          <w:szCs w:val="24"/>
          <w:lang w:val="hr-HR"/>
        </w:rPr>
        <w:t>nominovali</w:t>
      </w:r>
      <w:proofErr w:type="spellEnd"/>
      <w:r w:rsidR="00AA0D31" w:rsidRPr="003D790A">
        <w:rPr>
          <w:sz w:val="24"/>
          <w:szCs w:val="24"/>
          <w:lang w:val="hr-HR"/>
        </w:rPr>
        <w:t xml:space="preserve"> fakulteti koji obrazuju nastavnike.</w:t>
      </w:r>
      <w:r w:rsidR="00A17EEA" w:rsidRPr="003D790A">
        <w:rPr>
          <w:sz w:val="24"/>
          <w:szCs w:val="24"/>
          <w:lang w:val="hr-HR"/>
        </w:rPr>
        <w:t xml:space="preserve"> Razvoj standarda za osiguranje kvaliteta bi razvijala Agencija u saradnji s Univerzitetom, a s</w:t>
      </w:r>
      <w:r w:rsidR="00AA0D31" w:rsidRPr="003D790A">
        <w:rPr>
          <w:sz w:val="24"/>
          <w:szCs w:val="24"/>
          <w:lang w:val="hr-HR"/>
        </w:rPr>
        <w:t>aradnju fakulteta koji obrazuju nastavnike i škola bi vodili dekani i direktori Zavoda za školstvo i centra za stručno obrazovanje.</w:t>
      </w:r>
    </w:p>
    <w:p w14:paraId="648E4AB9" w14:textId="3ACD1B1F" w:rsidR="00AA0D31" w:rsidRPr="003D790A" w:rsidRDefault="00AA0D31" w:rsidP="00A17EEA">
      <w:pPr>
        <w:widowControl/>
        <w:autoSpaceDE/>
        <w:autoSpaceDN/>
        <w:spacing w:before="100" w:after="100" w:line="276" w:lineRule="auto"/>
        <w:contextualSpacing/>
        <w:jc w:val="both"/>
        <w:rPr>
          <w:sz w:val="24"/>
          <w:szCs w:val="24"/>
          <w:lang w:val="hr-HR"/>
        </w:rPr>
      </w:pPr>
      <w:r w:rsidRPr="003D790A">
        <w:rPr>
          <w:b/>
          <w:bCs/>
          <w:sz w:val="24"/>
          <w:szCs w:val="24"/>
          <w:lang w:val="hr-HR"/>
        </w:rPr>
        <w:t xml:space="preserve">Vremenski okvir za aktivnosti: </w:t>
      </w:r>
      <w:r w:rsidRPr="003D790A">
        <w:rPr>
          <w:sz w:val="24"/>
          <w:szCs w:val="24"/>
          <w:lang w:val="hr-HR"/>
        </w:rPr>
        <w:t xml:space="preserve">Projektni tim proširen grupom iskusnih nastavnika bi mogao raditi na prvoj verziji standarda kompetencija do kraja 2020. godine. </w:t>
      </w:r>
      <w:r w:rsidR="00417559" w:rsidRPr="003D790A">
        <w:rPr>
          <w:sz w:val="24"/>
          <w:szCs w:val="24"/>
          <w:lang w:val="hr-HR"/>
        </w:rPr>
        <w:t xml:space="preserve">Nakon što je nacrt standarda završen, grupa za izradu modula može biti formirana i u tri mjeseca (januar – mart 2021. godine) izraditi nacrt </w:t>
      </w:r>
      <w:proofErr w:type="spellStart"/>
      <w:r w:rsidR="00417559" w:rsidRPr="003D790A">
        <w:rPr>
          <w:sz w:val="24"/>
          <w:szCs w:val="24"/>
          <w:lang w:val="hr-HR"/>
        </w:rPr>
        <w:t>modulȃ</w:t>
      </w:r>
      <w:proofErr w:type="spellEnd"/>
      <w:r w:rsidR="00417559" w:rsidRPr="003D790A">
        <w:rPr>
          <w:sz w:val="24"/>
          <w:szCs w:val="24"/>
          <w:lang w:val="hr-HR"/>
        </w:rPr>
        <w:t xml:space="preserve">. Nakon toga, u iduća tri mjeseca se dokumenti mogu završavati, provesti konsultacije i biti upućeni na usvajanje nadležnim tijelima. </w:t>
      </w:r>
    </w:p>
    <w:sectPr w:rsidR="00AA0D31" w:rsidRPr="003D790A" w:rsidSect="006B32B6">
      <w:headerReference w:type="default" r:id="rId14"/>
      <w:footerReference w:type="default" r:id="rId15"/>
      <w:footerReference w:type="first" r:id="rId16"/>
      <w:pgSz w:w="11910" w:h="16840"/>
      <w:pgMar w:top="1625" w:right="907" w:bottom="2155" w:left="907" w:header="709" w:footer="82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635BC" w14:textId="77777777" w:rsidR="005D10E4" w:rsidRDefault="005D10E4" w:rsidP="0072460A">
      <w:r>
        <w:separator/>
      </w:r>
    </w:p>
  </w:endnote>
  <w:endnote w:type="continuationSeparator" w:id="0">
    <w:p w14:paraId="05FACBC2" w14:textId="77777777" w:rsidR="005D10E4" w:rsidRDefault="005D10E4" w:rsidP="0072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altName w:val="Arial"/>
    <w:panose1 w:val="020B0604020202020204"/>
    <w:charset w:val="EE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DA90C" w14:textId="77777777" w:rsidR="006B12F2" w:rsidRDefault="006B12F2" w:rsidP="0002570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3B365C" w14:textId="77777777" w:rsidR="006B12F2" w:rsidRDefault="006B12F2" w:rsidP="0002570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795DA" w14:textId="77777777" w:rsidR="006B12F2" w:rsidRDefault="006B12F2" w:rsidP="00025706">
    <w:pPr>
      <w:pStyle w:val="Footer"/>
      <w:ind w:left="-90"/>
      <w:rPr>
        <w:b/>
        <w:noProof/>
        <w:color w:val="595959" w:themeColor="text1" w:themeTint="A6"/>
        <w:sz w:val="16"/>
        <w:szCs w:val="16"/>
      </w:rPr>
    </w:pPr>
  </w:p>
  <w:p w14:paraId="59F31FCF" w14:textId="236A58C4" w:rsidR="006B12F2" w:rsidRPr="00EE64B0" w:rsidRDefault="00D305DB" w:rsidP="00025706">
    <w:pPr>
      <w:pStyle w:val="Footer"/>
      <w:ind w:left="-90"/>
      <w:rPr>
        <w:b/>
        <w:noProof/>
        <w:color w:val="595959" w:themeColor="text1" w:themeTint="A6"/>
        <w:sz w:val="16"/>
        <w:szCs w:val="16"/>
      </w:rPr>
    </w:pPr>
    <w:r>
      <w:rPr>
        <w:b/>
        <w:noProof/>
        <w:color w:val="595959" w:themeColor="text1" w:themeTint="A6"/>
        <w:sz w:val="16"/>
        <w:szCs w:val="16"/>
      </w:rPr>
      <w:t>Integracija ključnih kompetencija u obrazovni sistem Crne Gore</w:t>
    </w:r>
    <w:r w:rsidR="006B12F2" w:rsidRPr="00EE64B0">
      <w:rPr>
        <w:b/>
        <w:noProof/>
        <w:color w:val="595959" w:themeColor="text1" w:themeTint="A6"/>
        <w:sz w:val="16"/>
        <w:szCs w:val="16"/>
      </w:rPr>
      <w:t xml:space="preserve">, </w:t>
    </w:r>
    <w:hyperlink r:id="rId1" w:history="1">
      <w:r w:rsidRPr="00ED023D">
        <w:rPr>
          <w:rStyle w:val="Hyperlink"/>
          <w:b/>
          <w:noProof/>
          <w:sz w:val="16"/>
          <w:szCs w:val="16"/>
        </w:rPr>
        <w:t>www.ikces.me</w:t>
      </w:r>
    </w:hyperlink>
    <w:r>
      <w:rPr>
        <w:b/>
        <w:noProof/>
        <w:color w:val="595959" w:themeColor="text1" w:themeTint="A6"/>
        <w:sz w:val="16"/>
        <w:szCs w:val="16"/>
      </w:rPr>
      <w:t xml:space="preserve"> </w:t>
    </w:r>
  </w:p>
  <w:p w14:paraId="5F182A6E" w14:textId="142000D2" w:rsidR="006B12F2" w:rsidRDefault="006B12F2" w:rsidP="00025706">
    <w:pPr>
      <w:pStyle w:val="Footer"/>
      <w:ind w:left="-90"/>
      <w:rPr>
        <w:b/>
        <w:noProof/>
        <w:color w:val="595959" w:themeColor="text1" w:themeTint="A6"/>
        <w:sz w:val="16"/>
        <w:szCs w:val="16"/>
      </w:rPr>
    </w:pPr>
    <w:r w:rsidRPr="00EE64B0">
      <w:rPr>
        <w:b/>
        <w:noProof/>
        <w:color w:val="595959" w:themeColor="text1" w:themeTint="A6"/>
        <w:sz w:val="16"/>
        <w:szCs w:val="16"/>
      </w:rPr>
      <w:t xml:space="preserve">Vaka Djurovica bb/I, 81000 Podgorica, Montenegro, P: +382 20 408 937, E-m: </w:t>
    </w:r>
    <w:hyperlink r:id="rId2" w:history="1">
      <w:r w:rsidR="00D305DB" w:rsidRPr="00ED023D">
        <w:rPr>
          <w:rStyle w:val="Hyperlink"/>
          <w:b/>
          <w:noProof/>
          <w:sz w:val="16"/>
          <w:szCs w:val="16"/>
        </w:rPr>
        <w:t>m.nikcevic@eprd.pl</w:t>
      </w:r>
    </w:hyperlink>
    <w:r w:rsidRPr="00EE64B0">
      <w:rPr>
        <w:b/>
        <w:noProof/>
        <w:color w:val="595959" w:themeColor="text1" w:themeTint="A6"/>
        <w:sz w:val="16"/>
        <w:szCs w:val="16"/>
      </w:rPr>
      <w:t xml:space="preserve"> </w:t>
    </w:r>
  </w:p>
  <w:p w14:paraId="3D209CD2" w14:textId="56D9DBE9" w:rsidR="006B12F2" w:rsidRDefault="006B12F2" w:rsidP="00C12627">
    <w:pPr>
      <w:pStyle w:val="Footer"/>
      <w:tabs>
        <w:tab w:val="left" w:pos="1110"/>
      </w:tabs>
      <w:ind w:left="-90"/>
    </w:pPr>
    <w:r>
      <w:rPr>
        <w:noProof/>
      </w:rPr>
      <w:drawing>
        <wp:anchor distT="0" distB="0" distL="0" distR="0" simplePos="0" relativeHeight="251667456" behindDoc="1" locked="0" layoutInCell="1" allowOverlap="1" wp14:anchorId="1DF8AF2E" wp14:editId="4042E5F2">
          <wp:simplePos x="0" y="0"/>
          <wp:positionH relativeFrom="page">
            <wp:posOffset>547370</wp:posOffset>
          </wp:positionH>
          <wp:positionV relativeFrom="page">
            <wp:posOffset>10029825</wp:posOffset>
          </wp:positionV>
          <wp:extent cx="551815" cy="65405"/>
          <wp:effectExtent l="0" t="0" r="635" b="0"/>
          <wp:wrapNone/>
          <wp:docPr id="22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551815" cy="65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ECC82" w14:textId="77777777" w:rsidR="006B12F2" w:rsidRPr="00A0224C" w:rsidRDefault="006B12F2" w:rsidP="00025706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15585831" w14:textId="77777777" w:rsidR="006B12F2" w:rsidRDefault="006B12F2" w:rsidP="0002570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205F1" w14:textId="77777777" w:rsidR="006B12F2" w:rsidRPr="000874A0" w:rsidRDefault="006B12F2" w:rsidP="00025706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477AC2B2" w14:textId="44392D2A" w:rsidR="006B12F2" w:rsidRDefault="006B12F2" w:rsidP="0002570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>.ME – Integracija ključnih kompetencija u obrazovni sistem Crne Gore</w:t>
    </w:r>
  </w:p>
  <w:p w14:paraId="4B8BFFD4" w14:textId="77777777" w:rsidR="006B12F2" w:rsidRDefault="006B12F2">
    <w:pPr>
      <w:pStyle w:val="Footer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57626" w14:textId="77777777" w:rsidR="006B12F2" w:rsidRPr="00A0224C" w:rsidRDefault="006B12F2" w:rsidP="00025706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08F2344C" w14:textId="77777777" w:rsidR="006B12F2" w:rsidRDefault="006B12F2" w:rsidP="0002570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0283F" w14:textId="77777777" w:rsidR="005D10E4" w:rsidRDefault="005D10E4" w:rsidP="0072460A">
      <w:r>
        <w:separator/>
      </w:r>
    </w:p>
  </w:footnote>
  <w:footnote w:type="continuationSeparator" w:id="0">
    <w:p w14:paraId="6F141D70" w14:textId="77777777" w:rsidR="005D10E4" w:rsidRDefault="005D10E4" w:rsidP="0072460A">
      <w:r>
        <w:continuationSeparator/>
      </w:r>
    </w:p>
  </w:footnote>
  <w:footnote w:id="1">
    <w:p w14:paraId="25212CAC" w14:textId="77777777" w:rsidR="00C07939" w:rsidRPr="00EA7A28" w:rsidRDefault="00C07939" w:rsidP="00C07939">
      <w:pPr>
        <w:pStyle w:val="FootnoteText"/>
        <w:jc w:val="both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EA7A28">
        <w:t>Strategija</w:t>
      </w:r>
      <w:proofErr w:type="spellEnd"/>
      <w:r w:rsidRPr="00EA7A28">
        <w:t xml:space="preserve"> </w:t>
      </w:r>
      <w:proofErr w:type="spellStart"/>
      <w:r w:rsidRPr="00EA7A28">
        <w:t>obrazovanja</w:t>
      </w:r>
      <w:proofErr w:type="spellEnd"/>
      <w:r w:rsidRPr="00EA7A28">
        <w:t xml:space="preserve"> </w:t>
      </w:r>
      <w:proofErr w:type="spellStart"/>
      <w:r w:rsidRPr="00EA7A28">
        <w:t>nastavnika</w:t>
      </w:r>
      <w:proofErr w:type="spellEnd"/>
      <w:r w:rsidRPr="00EA7A28">
        <w:t xml:space="preserve"> 2017-2024 </w:t>
      </w:r>
      <w:proofErr w:type="spellStart"/>
      <w:r w:rsidRPr="00EA7A28">
        <w:t>sa</w:t>
      </w:r>
      <w:proofErr w:type="spellEnd"/>
      <w:r w:rsidRPr="00EA7A28">
        <w:t xml:space="preserve"> </w:t>
      </w:r>
      <w:proofErr w:type="spellStart"/>
      <w:r w:rsidRPr="00EA7A28">
        <w:t>Akcionim</w:t>
      </w:r>
      <w:proofErr w:type="spellEnd"/>
      <w:r w:rsidRPr="00EA7A28">
        <w:t xml:space="preserve"> planom za 2017-2018 </w:t>
      </w:r>
      <w:proofErr w:type="spellStart"/>
      <w:r w:rsidRPr="00EA7A28">
        <w:t>donijeta</w:t>
      </w:r>
      <w:proofErr w:type="spellEnd"/>
      <w:r w:rsidRPr="00EA7A28">
        <w:t xml:space="preserve"> je na </w:t>
      </w:r>
      <w:proofErr w:type="spellStart"/>
      <w:r w:rsidRPr="00EA7A28">
        <w:t>sjednici</w:t>
      </w:r>
      <w:proofErr w:type="spellEnd"/>
      <w:r w:rsidRPr="00EA7A28">
        <w:t xml:space="preserve"> </w:t>
      </w:r>
      <w:proofErr w:type="spellStart"/>
      <w:r w:rsidRPr="00EA7A28">
        <w:t>Vlade</w:t>
      </w:r>
      <w:proofErr w:type="spellEnd"/>
      <w:r w:rsidRPr="00EA7A28">
        <w:t xml:space="preserve"> </w:t>
      </w:r>
      <w:proofErr w:type="spellStart"/>
      <w:r w:rsidRPr="00EA7A28">
        <w:t>Crne</w:t>
      </w:r>
      <w:proofErr w:type="spellEnd"/>
      <w:r w:rsidRPr="00EA7A28">
        <w:t xml:space="preserve"> </w:t>
      </w:r>
      <w:proofErr w:type="spellStart"/>
      <w:r w:rsidRPr="00EA7A28">
        <w:t>Gore</w:t>
      </w:r>
      <w:proofErr w:type="spellEnd"/>
      <w:r w:rsidRPr="00EA7A28">
        <w:t xml:space="preserve"> </w:t>
      </w:r>
      <w:proofErr w:type="spellStart"/>
      <w:r w:rsidRPr="00EA7A28">
        <w:t>održanoj</w:t>
      </w:r>
      <w:proofErr w:type="spellEnd"/>
      <w:r w:rsidRPr="00EA7A28">
        <w:t xml:space="preserve"> 29.12.2016.godine</w:t>
      </w:r>
    </w:p>
  </w:footnote>
  <w:footnote w:id="2">
    <w:p w14:paraId="7DFBBA1C" w14:textId="6F74C473" w:rsidR="00AA0D31" w:rsidRPr="00AA0D31" w:rsidRDefault="00AA0D31" w:rsidP="00AA0D31">
      <w:pPr>
        <w:pStyle w:val="FootnoteText"/>
        <w:jc w:val="both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 xml:space="preserve">Moduli bi se mogli koristiti, ukoliko bi to bilo predviđeno, i za obrazovanje nastavnika stručnih predmeta u srednjem stručnom obrazovanju kao </w:t>
      </w:r>
      <w:proofErr w:type="spellStart"/>
      <w:r>
        <w:rPr>
          <w:lang w:val="hr-HR"/>
        </w:rPr>
        <w:t>djelimična</w:t>
      </w:r>
      <w:proofErr w:type="spellEnd"/>
      <w:r>
        <w:rPr>
          <w:lang w:val="hr-HR"/>
        </w:rPr>
        <w:t xml:space="preserve"> ili čak cijela kvalifikacija.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36BF3" w14:textId="77777777" w:rsidR="006B12F2" w:rsidRDefault="006B12F2" w:rsidP="000257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E113AF" w14:textId="77777777" w:rsidR="006B12F2" w:rsidRDefault="006B12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F0FF3" w14:textId="5DCFA0F1" w:rsidR="006B12F2" w:rsidRDefault="006B12F2" w:rsidP="00025706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65408" behindDoc="1" locked="0" layoutInCell="1" allowOverlap="1" wp14:anchorId="3F69749C" wp14:editId="302CCE3F">
          <wp:simplePos x="0" y="0"/>
          <wp:positionH relativeFrom="page">
            <wp:posOffset>576596</wp:posOffset>
          </wp:positionH>
          <wp:positionV relativeFrom="page">
            <wp:posOffset>605717</wp:posOffset>
          </wp:positionV>
          <wp:extent cx="1437024" cy="651162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39484" cy="6522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 wp14:anchorId="3B628199" wp14:editId="772C835A">
          <wp:simplePos x="0" y="0"/>
          <wp:positionH relativeFrom="page">
            <wp:posOffset>5709920</wp:posOffset>
          </wp:positionH>
          <wp:positionV relativeFrom="page">
            <wp:posOffset>554355</wp:posOffset>
          </wp:positionV>
          <wp:extent cx="1218565" cy="703580"/>
          <wp:effectExtent l="0" t="0" r="635" b="1270"/>
          <wp:wrapNone/>
          <wp:docPr id="226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8565" cy="703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53D16A" w14:textId="56DC55AD" w:rsidR="006B12F2" w:rsidRPr="00664EA6" w:rsidRDefault="006B12F2" w:rsidP="00025706">
    <w:pPr>
      <w:pStyle w:val="Header"/>
    </w:pPr>
    <w:r>
      <w:rPr>
        <w:noProof/>
      </w:rPr>
      <w:drawing>
        <wp:anchor distT="0" distB="0" distL="0" distR="0" simplePos="0" relativeHeight="251661312" behindDoc="1" locked="0" layoutInCell="1" allowOverlap="1" wp14:anchorId="437E4FC3" wp14:editId="028B59BB">
          <wp:simplePos x="0" y="0"/>
          <wp:positionH relativeFrom="page">
            <wp:posOffset>3252470</wp:posOffset>
          </wp:positionH>
          <wp:positionV relativeFrom="page">
            <wp:posOffset>815340</wp:posOffset>
          </wp:positionV>
          <wp:extent cx="1197863" cy="320039"/>
          <wp:effectExtent l="0" t="0" r="2540" b="4445"/>
          <wp:wrapNone/>
          <wp:docPr id="230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5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197863" cy="3200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C8C86" w14:textId="77777777" w:rsidR="006B12F2" w:rsidRPr="00876CE6" w:rsidRDefault="006B12F2" w:rsidP="00025706">
    <w:pPr>
      <w:pStyle w:val="Header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23B17"/>
    <w:multiLevelType w:val="hybridMultilevel"/>
    <w:tmpl w:val="5374D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F4EF1"/>
    <w:multiLevelType w:val="hybridMultilevel"/>
    <w:tmpl w:val="8CCAC0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2DFAE">
      <w:numFmt w:val="bullet"/>
      <w:lvlText w:val="•"/>
      <w:lvlJc w:val="left"/>
      <w:pPr>
        <w:ind w:left="1440" w:hanging="360"/>
      </w:pPr>
      <w:rPr>
        <w:rFonts w:ascii="Roboto" w:eastAsia="Roboto" w:hAnsi="Roboto" w:cs="Roboto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C7C48"/>
    <w:multiLevelType w:val="hybridMultilevel"/>
    <w:tmpl w:val="62D4F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C3334"/>
    <w:multiLevelType w:val="hybridMultilevel"/>
    <w:tmpl w:val="399ED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9385D"/>
    <w:multiLevelType w:val="hybridMultilevel"/>
    <w:tmpl w:val="EB8CD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467C6"/>
    <w:multiLevelType w:val="hybridMultilevel"/>
    <w:tmpl w:val="DBE0C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6359F"/>
    <w:multiLevelType w:val="hybridMultilevel"/>
    <w:tmpl w:val="9BA6B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A6135"/>
    <w:multiLevelType w:val="hybridMultilevel"/>
    <w:tmpl w:val="FBB4F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B50DA"/>
    <w:multiLevelType w:val="hybridMultilevel"/>
    <w:tmpl w:val="0304F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228A0"/>
    <w:multiLevelType w:val="hybridMultilevel"/>
    <w:tmpl w:val="5956D4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A735C"/>
    <w:multiLevelType w:val="hybridMultilevel"/>
    <w:tmpl w:val="9F308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33683"/>
    <w:multiLevelType w:val="hybridMultilevel"/>
    <w:tmpl w:val="E91A4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A342D"/>
    <w:multiLevelType w:val="hybridMultilevel"/>
    <w:tmpl w:val="D486CE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3A1CDF"/>
    <w:multiLevelType w:val="hybridMultilevel"/>
    <w:tmpl w:val="76004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9F1623"/>
    <w:multiLevelType w:val="hybridMultilevel"/>
    <w:tmpl w:val="C922B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B3ACE"/>
    <w:multiLevelType w:val="hybridMultilevel"/>
    <w:tmpl w:val="6F1631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22032D"/>
    <w:multiLevelType w:val="hybridMultilevel"/>
    <w:tmpl w:val="F66E8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A64F68"/>
    <w:multiLevelType w:val="hybridMultilevel"/>
    <w:tmpl w:val="1C205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3D035B"/>
    <w:multiLevelType w:val="hybridMultilevel"/>
    <w:tmpl w:val="DD8A8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756F1B"/>
    <w:multiLevelType w:val="multilevel"/>
    <w:tmpl w:val="70644E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69367F3"/>
    <w:multiLevelType w:val="hybridMultilevel"/>
    <w:tmpl w:val="22EABAB4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1" w15:restartNumberingAfterBreak="0">
    <w:nsid w:val="381D7538"/>
    <w:multiLevelType w:val="hybridMultilevel"/>
    <w:tmpl w:val="4E44E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9516E"/>
    <w:multiLevelType w:val="hybridMultilevel"/>
    <w:tmpl w:val="3E5E22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34E9C"/>
    <w:multiLevelType w:val="hybridMultilevel"/>
    <w:tmpl w:val="1BF03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A04D9"/>
    <w:multiLevelType w:val="hybridMultilevel"/>
    <w:tmpl w:val="663C7354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5" w15:restartNumberingAfterBreak="0">
    <w:nsid w:val="45493303"/>
    <w:multiLevelType w:val="hybridMultilevel"/>
    <w:tmpl w:val="8C6CA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A81FA3"/>
    <w:multiLevelType w:val="hybridMultilevel"/>
    <w:tmpl w:val="D4CAFA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D09E0"/>
    <w:multiLevelType w:val="hybridMultilevel"/>
    <w:tmpl w:val="23AA9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F6124F"/>
    <w:multiLevelType w:val="hybridMultilevel"/>
    <w:tmpl w:val="2E3C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096F4D"/>
    <w:multiLevelType w:val="hybridMultilevel"/>
    <w:tmpl w:val="782CA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5D2102"/>
    <w:multiLevelType w:val="hybridMultilevel"/>
    <w:tmpl w:val="EEF27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B0CF1"/>
    <w:multiLevelType w:val="hybridMultilevel"/>
    <w:tmpl w:val="7CAC5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3077EE"/>
    <w:multiLevelType w:val="hybridMultilevel"/>
    <w:tmpl w:val="8C4E0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C23867"/>
    <w:multiLevelType w:val="hybridMultilevel"/>
    <w:tmpl w:val="309421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1A68F3"/>
    <w:multiLevelType w:val="multilevel"/>
    <w:tmpl w:val="58702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DC339E6"/>
    <w:multiLevelType w:val="hybridMultilevel"/>
    <w:tmpl w:val="F01847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CE6397"/>
    <w:multiLevelType w:val="hybridMultilevel"/>
    <w:tmpl w:val="D87A7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05A6A"/>
    <w:multiLevelType w:val="hybridMultilevel"/>
    <w:tmpl w:val="A3A46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B96C40"/>
    <w:multiLevelType w:val="hybridMultilevel"/>
    <w:tmpl w:val="4426F1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842C6F"/>
    <w:multiLevelType w:val="hybridMultilevel"/>
    <w:tmpl w:val="D77C6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685E90"/>
    <w:multiLevelType w:val="multilevel"/>
    <w:tmpl w:val="70644E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58D1C8A"/>
    <w:multiLevelType w:val="hybridMultilevel"/>
    <w:tmpl w:val="1C74E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D42FF7"/>
    <w:multiLevelType w:val="hybridMultilevel"/>
    <w:tmpl w:val="AA90D0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3665E6"/>
    <w:multiLevelType w:val="hybridMultilevel"/>
    <w:tmpl w:val="D250ED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D3026E"/>
    <w:multiLevelType w:val="hybridMultilevel"/>
    <w:tmpl w:val="A712D7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336EEA"/>
    <w:multiLevelType w:val="hybridMultilevel"/>
    <w:tmpl w:val="C3D40F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916009"/>
    <w:multiLevelType w:val="hybridMultilevel"/>
    <w:tmpl w:val="2CA2BF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D80CE7"/>
    <w:multiLevelType w:val="hybridMultilevel"/>
    <w:tmpl w:val="3B6E3AF0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8" w15:restartNumberingAfterBreak="0">
    <w:nsid w:val="6CEF5442"/>
    <w:multiLevelType w:val="hybridMultilevel"/>
    <w:tmpl w:val="739A72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A53342"/>
    <w:multiLevelType w:val="hybridMultilevel"/>
    <w:tmpl w:val="6BDC3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0B6732"/>
    <w:multiLevelType w:val="hybridMultilevel"/>
    <w:tmpl w:val="4CF0E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A64B0F"/>
    <w:multiLevelType w:val="hybridMultilevel"/>
    <w:tmpl w:val="78802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6708F2"/>
    <w:multiLevelType w:val="hybridMultilevel"/>
    <w:tmpl w:val="D7962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D30A97"/>
    <w:multiLevelType w:val="hybridMultilevel"/>
    <w:tmpl w:val="ABDE10A8"/>
    <w:lvl w:ilvl="0" w:tplc="5D501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B3E538E"/>
    <w:multiLevelType w:val="hybridMultilevel"/>
    <w:tmpl w:val="78B656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8C200F"/>
    <w:multiLevelType w:val="hybridMultilevel"/>
    <w:tmpl w:val="C9CC336C"/>
    <w:lvl w:ilvl="0" w:tplc="04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56" w15:restartNumberingAfterBreak="0">
    <w:nsid w:val="7F617F66"/>
    <w:multiLevelType w:val="multilevel"/>
    <w:tmpl w:val="58702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3"/>
  </w:num>
  <w:num w:numId="2">
    <w:abstractNumId w:val="34"/>
  </w:num>
  <w:num w:numId="3">
    <w:abstractNumId w:val="47"/>
  </w:num>
  <w:num w:numId="4">
    <w:abstractNumId w:val="24"/>
  </w:num>
  <w:num w:numId="5">
    <w:abstractNumId w:val="20"/>
  </w:num>
  <w:num w:numId="6">
    <w:abstractNumId w:val="16"/>
  </w:num>
  <w:num w:numId="7">
    <w:abstractNumId w:val="41"/>
  </w:num>
  <w:num w:numId="8">
    <w:abstractNumId w:val="56"/>
  </w:num>
  <w:num w:numId="9">
    <w:abstractNumId w:val="37"/>
  </w:num>
  <w:num w:numId="10">
    <w:abstractNumId w:val="55"/>
  </w:num>
  <w:num w:numId="11">
    <w:abstractNumId w:val="19"/>
  </w:num>
  <w:num w:numId="12">
    <w:abstractNumId w:val="40"/>
  </w:num>
  <w:num w:numId="13">
    <w:abstractNumId w:val="38"/>
  </w:num>
  <w:num w:numId="14">
    <w:abstractNumId w:val="13"/>
  </w:num>
  <w:num w:numId="15">
    <w:abstractNumId w:val="10"/>
  </w:num>
  <w:num w:numId="16">
    <w:abstractNumId w:val="32"/>
  </w:num>
  <w:num w:numId="17">
    <w:abstractNumId w:val="15"/>
  </w:num>
  <w:num w:numId="18">
    <w:abstractNumId w:val="0"/>
  </w:num>
  <w:num w:numId="19">
    <w:abstractNumId w:val="25"/>
  </w:num>
  <w:num w:numId="20">
    <w:abstractNumId w:val="26"/>
  </w:num>
  <w:num w:numId="21">
    <w:abstractNumId w:val="3"/>
  </w:num>
  <w:num w:numId="22">
    <w:abstractNumId w:val="8"/>
  </w:num>
  <w:num w:numId="23">
    <w:abstractNumId w:val="1"/>
  </w:num>
  <w:num w:numId="24">
    <w:abstractNumId w:val="49"/>
  </w:num>
  <w:num w:numId="25">
    <w:abstractNumId w:val="39"/>
  </w:num>
  <w:num w:numId="26">
    <w:abstractNumId w:val="11"/>
  </w:num>
  <w:num w:numId="27">
    <w:abstractNumId w:val="18"/>
  </w:num>
  <w:num w:numId="28">
    <w:abstractNumId w:val="42"/>
  </w:num>
  <w:num w:numId="29">
    <w:abstractNumId w:val="29"/>
  </w:num>
  <w:num w:numId="30">
    <w:abstractNumId w:val="48"/>
  </w:num>
  <w:num w:numId="31">
    <w:abstractNumId w:val="54"/>
  </w:num>
  <w:num w:numId="32">
    <w:abstractNumId w:val="9"/>
  </w:num>
  <w:num w:numId="33">
    <w:abstractNumId w:val="43"/>
  </w:num>
  <w:num w:numId="34">
    <w:abstractNumId w:val="50"/>
  </w:num>
  <w:num w:numId="35">
    <w:abstractNumId w:val="27"/>
  </w:num>
  <w:num w:numId="36">
    <w:abstractNumId w:val="45"/>
  </w:num>
  <w:num w:numId="37">
    <w:abstractNumId w:val="46"/>
  </w:num>
  <w:num w:numId="38">
    <w:abstractNumId w:val="36"/>
  </w:num>
  <w:num w:numId="39">
    <w:abstractNumId w:val="30"/>
  </w:num>
  <w:num w:numId="40">
    <w:abstractNumId w:val="14"/>
  </w:num>
  <w:num w:numId="41">
    <w:abstractNumId w:val="22"/>
  </w:num>
  <w:num w:numId="42">
    <w:abstractNumId w:val="7"/>
  </w:num>
  <w:num w:numId="43">
    <w:abstractNumId w:val="5"/>
  </w:num>
  <w:num w:numId="44">
    <w:abstractNumId w:val="52"/>
  </w:num>
  <w:num w:numId="45">
    <w:abstractNumId w:val="12"/>
  </w:num>
  <w:num w:numId="46">
    <w:abstractNumId w:val="33"/>
  </w:num>
  <w:num w:numId="47">
    <w:abstractNumId w:val="35"/>
  </w:num>
  <w:num w:numId="48">
    <w:abstractNumId w:val="44"/>
  </w:num>
  <w:num w:numId="49">
    <w:abstractNumId w:val="2"/>
  </w:num>
  <w:num w:numId="50">
    <w:abstractNumId w:val="28"/>
  </w:num>
  <w:num w:numId="51">
    <w:abstractNumId w:val="17"/>
  </w:num>
  <w:num w:numId="52">
    <w:abstractNumId w:val="51"/>
  </w:num>
  <w:num w:numId="53">
    <w:abstractNumId w:val="23"/>
  </w:num>
  <w:num w:numId="54">
    <w:abstractNumId w:val="31"/>
  </w:num>
  <w:num w:numId="55">
    <w:abstractNumId w:val="21"/>
  </w:num>
  <w:num w:numId="56">
    <w:abstractNumId w:val="6"/>
  </w:num>
  <w:num w:numId="57">
    <w:abstractNumId w:val="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2C5"/>
    <w:rsid w:val="00000A75"/>
    <w:rsid w:val="00012CF6"/>
    <w:rsid w:val="00025706"/>
    <w:rsid w:val="00035440"/>
    <w:rsid w:val="00037665"/>
    <w:rsid w:val="00042AAF"/>
    <w:rsid w:val="00043B32"/>
    <w:rsid w:val="000600CE"/>
    <w:rsid w:val="00060E9D"/>
    <w:rsid w:val="00066A24"/>
    <w:rsid w:val="00072979"/>
    <w:rsid w:val="00076876"/>
    <w:rsid w:val="0008028C"/>
    <w:rsid w:val="00081CD1"/>
    <w:rsid w:val="000D28A1"/>
    <w:rsid w:val="000D58A7"/>
    <w:rsid w:val="000E6B4B"/>
    <w:rsid w:val="000F0CA1"/>
    <w:rsid w:val="00112F31"/>
    <w:rsid w:val="00115CFC"/>
    <w:rsid w:val="00120821"/>
    <w:rsid w:val="00122D65"/>
    <w:rsid w:val="001522A5"/>
    <w:rsid w:val="00153D4C"/>
    <w:rsid w:val="00164A11"/>
    <w:rsid w:val="00176607"/>
    <w:rsid w:val="00186009"/>
    <w:rsid w:val="00194DEB"/>
    <w:rsid w:val="00194F97"/>
    <w:rsid w:val="001953AB"/>
    <w:rsid w:val="00195556"/>
    <w:rsid w:val="001B4E06"/>
    <w:rsid w:val="001C529A"/>
    <w:rsid w:val="001C63CA"/>
    <w:rsid w:val="001D6C83"/>
    <w:rsid w:val="001E45B1"/>
    <w:rsid w:val="001F7198"/>
    <w:rsid w:val="00204C99"/>
    <w:rsid w:val="00217E9D"/>
    <w:rsid w:val="00224170"/>
    <w:rsid w:val="00241556"/>
    <w:rsid w:val="00242D19"/>
    <w:rsid w:val="00243CD8"/>
    <w:rsid w:val="00254BF2"/>
    <w:rsid w:val="002572F2"/>
    <w:rsid w:val="00257CF4"/>
    <w:rsid w:val="0026613B"/>
    <w:rsid w:val="00273E1B"/>
    <w:rsid w:val="00284475"/>
    <w:rsid w:val="00291614"/>
    <w:rsid w:val="0029228B"/>
    <w:rsid w:val="002A0713"/>
    <w:rsid w:val="002B2969"/>
    <w:rsid w:val="002C6859"/>
    <w:rsid w:val="002C7D6A"/>
    <w:rsid w:val="002D14D6"/>
    <w:rsid w:val="002D1D6E"/>
    <w:rsid w:val="002F4C45"/>
    <w:rsid w:val="003021AD"/>
    <w:rsid w:val="00305502"/>
    <w:rsid w:val="00317125"/>
    <w:rsid w:val="003203B8"/>
    <w:rsid w:val="0032150C"/>
    <w:rsid w:val="003302C1"/>
    <w:rsid w:val="0035443E"/>
    <w:rsid w:val="003557B6"/>
    <w:rsid w:val="00355851"/>
    <w:rsid w:val="003601F4"/>
    <w:rsid w:val="0037057D"/>
    <w:rsid w:val="003707AC"/>
    <w:rsid w:val="0037627F"/>
    <w:rsid w:val="003A440D"/>
    <w:rsid w:val="003A53A2"/>
    <w:rsid w:val="003A63FF"/>
    <w:rsid w:val="003C0D26"/>
    <w:rsid w:val="003C2E55"/>
    <w:rsid w:val="003D790A"/>
    <w:rsid w:val="003E3201"/>
    <w:rsid w:val="004102E4"/>
    <w:rsid w:val="00417559"/>
    <w:rsid w:val="004446C2"/>
    <w:rsid w:val="004463C2"/>
    <w:rsid w:val="00454EB0"/>
    <w:rsid w:val="00460F75"/>
    <w:rsid w:val="0047778D"/>
    <w:rsid w:val="004830C6"/>
    <w:rsid w:val="00492351"/>
    <w:rsid w:val="00492596"/>
    <w:rsid w:val="004A4426"/>
    <w:rsid w:val="004C31F5"/>
    <w:rsid w:val="004E6089"/>
    <w:rsid w:val="004F1EE0"/>
    <w:rsid w:val="005064CD"/>
    <w:rsid w:val="00511300"/>
    <w:rsid w:val="005342DA"/>
    <w:rsid w:val="0053729F"/>
    <w:rsid w:val="00561C00"/>
    <w:rsid w:val="00564CD9"/>
    <w:rsid w:val="005711AB"/>
    <w:rsid w:val="005811D8"/>
    <w:rsid w:val="005A3C86"/>
    <w:rsid w:val="005B11E7"/>
    <w:rsid w:val="005D10E4"/>
    <w:rsid w:val="005D5072"/>
    <w:rsid w:val="005E59FE"/>
    <w:rsid w:val="00620C8F"/>
    <w:rsid w:val="00621A6F"/>
    <w:rsid w:val="00623C59"/>
    <w:rsid w:val="00661830"/>
    <w:rsid w:val="00674F86"/>
    <w:rsid w:val="00676828"/>
    <w:rsid w:val="00680A46"/>
    <w:rsid w:val="006A1AD8"/>
    <w:rsid w:val="006A2F44"/>
    <w:rsid w:val="006A2FC5"/>
    <w:rsid w:val="006B12F2"/>
    <w:rsid w:val="006B32B6"/>
    <w:rsid w:val="006B7839"/>
    <w:rsid w:val="006C3BB3"/>
    <w:rsid w:val="006C3F51"/>
    <w:rsid w:val="006D68A9"/>
    <w:rsid w:val="006E5512"/>
    <w:rsid w:val="006E63B0"/>
    <w:rsid w:val="006F5B2F"/>
    <w:rsid w:val="006F706D"/>
    <w:rsid w:val="00702209"/>
    <w:rsid w:val="00707D50"/>
    <w:rsid w:val="0071497F"/>
    <w:rsid w:val="00720060"/>
    <w:rsid w:val="0072460A"/>
    <w:rsid w:val="0073167A"/>
    <w:rsid w:val="00752D63"/>
    <w:rsid w:val="0075706D"/>
    <w:rsid w:val="007604EB"/>
    <w:rsid w:val="00781B87"/>
    <w:rsid w:val="00784550"/>
    <w:rsid w:val="0079341E"/>
    <w:rsid w:val="007A49C7"/>
    <w:rsid w:val="007B0805"/>
    <w:rsid w:val="007B50B5"/>
    <w:rsid w:val="007B6D80"/>
    <w:rsid w:val="007C5868"/>
    <w:rsid w:val="007D77C3"/>
    <w:rsid w:val="007E2850"/>
    <w:rsid w:val="007E78A8"/>
    <w:rsid w:val="007F6AFE"/>
    <w:rsid w:val="00803983"/>
    <w:rsid w:val="00804FC0"/>
    <w:rsid w:val="0081630B"/>
    <w:rsid w:val="00816F7E"/>
    <w:rsid w:val="008254AA"/>
    <w:rsid w:val="00832BED"/>
    <w:rsid w:val="0086664C"/>
    <w:rsid w:val="00873623"/>
    <w:rsid w:val="00884A2C"/>
    <w:rsid w:val="0089050D"/>
    <w:rsid w:val="008B05BA"/>
    <w:rsid w:val="008B34B6"/>
    <w:rsid w:val="008C1854"/>
    <w:rsid w:val="008C7948"/>
    <w:rsid w:val="0090678A"/>
    <w:rsid w:val="00927F8B"/>
    <w:rsid w:val="00932F64"/>
    <w:rsid w:val="0095659F"/>
    <w:rsid w:val="00965B3E"/>
    <w:rsid w:val="00980CA0"/>
    <w:rsid w:val="00982647"/>
    <w:rsid w:val="009868F0"/>
    <w:rsid w:val="00993B80"/>
    <w:rsid w:val="009A0117"/>
    <w:rsid w:val="009A227B"/>
    <w:rsid w:val="009C0C48"/>
    <w:rsid w:val="009C3459"/>
    <w:rsid w:val="009D01AE"/>
    <w:rsid w:val="009D12CB"/>
    <w:rsid w:val="009D2E2B"/>
    <w:rsid w:val="009E091B"/>
    <w:rsid w:val="009E3B15"/>
    <w:rsid w:val="009F7CC6"/>
    <w:rsid w:val="00A17EEA"/>
    <w:rsid w:val="00A26431"/>
    <w:rsid w:val="00A3214A"/>
    <w:rsid w:val="00A36B52"/>
    <w:rsid w:val="00A47514"/>
    <w:rsid w:val="00A542C5"/>
    <w:rsid w:val="00A54951"/>
    <w:rsid w:val="00A60501"/>
    <w:rsid w:val="00A61B54"/>
    <w:rsid w:val="00A84531"/>
    <w:rsid w:val="00A93F5D"/>
    <w:rsid w:val="00A96E2C"/>
    <w:rsid w:val="00AA0D31"/>
    <w:rsid w:val="00AB1FFD"/>
    <w:rsid w:val="00AC7437"/>
    <w:rsid w:val="00AD019F"/>
    <w:rsid w:val="00AD3010"/>
    <w:rsid w:val="00AD64DA"/>
    <w:rsid w:val="00AD73E5"/>
    <w:rsid w:val="00AD7635"/>
    <w:rsid w:val="00AE01E7"/>
    <w:rsid w:val="00AF324F"/>
    <w:rsid w:val="00B061E9"/>
    <w:rsid w:val="00B06429"/>
    <w:rsid w:val="00B06AE1"/>
    <w:rsid w:val="00B1551D"/>
    <w:rsid w:val="00B16039"/>
    <w:rsid w:val="00B4572A"/>
    <w:rsid w:val="00B57D39"/>
    <w:rsid w:val="00B63C65"/>
    <w:rsid w:val="00B72A34"/>
    <w:rsid w:val="00B77D9C"/>
    <w:rsid w:val="00B84B7B"/>
    <w:rsid w:val="00B9536A"/>
    <w:rsid w:val="00BA2592"/>
    <w:rsid w:val="00BA4A0E"/>
    <w:rsid w:val="00BC4259"/>
    <w:rsid w:val="00BC6322"/>
    <w:rsid w:val="00BD7449"/>
    <w:rsid w:val="00BE7317"/>
    <w:rsid w:val="00BE77A7"/>
    <w:rsid w:val="00BF0D70"/>
    <w:rsid w:val="00C06D62"/>
    <w:rsid w:val="00C07939"/>
    <w:rsid w:val="00C12627"/>
    <w:rsid w:val="00C443B4"/>
    <w:rsid w:val="00C44E4F"/>
    <w:rsid w:val="00C638CE"/>
    <w:rsid w:val="00C71003"/>
    <w:rsid w:val="00C723F5"/>
    <w:rsid w:val="00C80320"/>
    <w:rsid w:val="00C81F74"/>
    <w:rsid w:val="00C86B0D"/>
    <w:rsid w:val="00C90E39"/>
    <w:rsid w:val="00C9511D"/>
    <w:rsid w:val="00CA1265"/>
    <w:rsid w:val="00CA2877"/>
    <w:rsid w:val="00CA7A4D"/>
    <w:rsid w:val="00CB24C1"/>
    <w:rsid w:val="00CB70E5"/>
    <w:rsid w:val="00CC29DF"/>
    <w:rsid w:val="00CC69BF"/>
    <w:rsid w:val="00CE2CF1"/>
    <w:rsid w:val="00CE32A2"/>
    <w:rsid w:val="00CE3A67"/>
    <w:rsid w:val="00CF49D1"/>
    <w:rsid w:val="00CF7E34"/>
    <w:rsid w:val="00D03B64"/>
    <w:rsid w:val="00D05954"/>
    <w:rsid w:val="00D305DB"/>
    <w:rsid w:val="00D31DD0"/>
    <w:rsid w:val="00D33FB2"/>
    <w:rsid w:val="00D43F8C"/>
    <w:rsid w:val="00D55FA8"/>
    <w:rsid w:val="00D56654"/>
    <w:rsid w:val="00D62948"/>
    <w:rsid w:val="00D63B55"/>
    <w:rsid w:val="00D64646"/>
    <w:rsid w:val="00D722B8"/>
    <w:rsid w:val="00D8409F"/>
    <w:rsid w:val="00D8499E"/>
    <w:rsid w:val="00D95240"/>
    <w:rsid w:val="00DC09A1"/>
    <w:rsid w:val="00DC2D71"/>
    <w:rsid w:val="00DE42FC"/>
    <w:rsid w:val="00E01A60"/>
    <w:rsid w:val="00E1542D"/>
    <w:rsid w:val="00E173F0"/>
    <w:rsid w:val="00E20E99"/>
    <w:rsid w:val="00E45125"/>
    <w:rsid w:val="00E465B9"/>
    <w:rsid w:val="00E62A41"/>
    <w:rsid w:val="00E640BC"/>
    <w:rsid w:val="00E70FAC"/>
    <w:rsid w:val="00E71165"/>
    <w:rsid w:val="00E83AF0"/>
    <w:rsid w:val="00E84DE6"/>
    <w:rsid w:val="00E870F3"/>
    <w:rsid w:val="00EB155B"/>
    <w:rsid w:val="00ED09E0"/>
    <w:rsid w:val="00EF0873"/>
    <w:rsid w:val="00F0179C"/>
    <w:rsid w:val="00F154CC"/>
    <w:rsid w:val="00F15E36"/>
    <w:rsid w:val="00F241EA"/>
    <w:rsid w:val="00F25634"/>
    <w:rsid w:val="00F45E86"/>
    <w:rsid w:val="00F4705F"/>
    <w:rsid w:val="00F52E26"/>
    <w:rsid w:val="00F54B45"/>
    <w:rsid w:val="00F55064"/>
    <w:rsid w:val="00F73908"/>
    <w:rsid w:val="00F840EE"/>
    <w:rsid w:val="00FB5218"/>
    <w:rsid w:val="00FB7BF8"/>
    <w:rsid w:val="00FC0CFD"/>
    <w:rsid w:val="00FC5D6C"/>
    <w:rsid w:val="00FE201B"/>
    <w:rsid w:val="00F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1AB1"/>
  <w15:chartTrackingRefBased/>
  <w15:docId w15:val="{348AECA0-CF89-934A-BA0A-A48A3117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2C5"/>
    <w:pPr>
      <w:widowControl w:val="0"/>
      <w:autoSpaceDE w:val="0"/>
      <w:autoSpaceDN w:val="0"/>
    </w:pPr>
    <w:rPr>
      <w:rFonts w:ascii="Roboto" w:eastAsia="Roboto" w:hAnsi="Roboto" w:cs="Roboto"/>
      <w:sz w:val="22"/>
      <w:szCs w:val="22"/>
      <w:lang w:val="pl-PL" w:eastAsia="pl-PL" w:bidi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42C5"/>
    <w:pPr>
      <w:keepNext/>
      <w:keepLines/>
      <w:widowControl/>
      <w:autoSpaceDE/>
      <w:autoSpaceDN/>
      <w:spacing w:before="480" w:line="276" w:lineRule="auto"/>
      <w:jc w:val="center"/>
      <w:outlineLvl w:val="0"/>
    </w:pPr>
    <w:rPr>
      <w:rFonts w:ascii="Calibri" w:eastAsiaTheme="majorEastAsia" w:hAnsi="Calibri" w:cstheme="majorBidi"/>
      <w:b/>
      <w:bCs/>
      <w:color w:val="800000"/>
      <w:sz w:val="32"/>
      <w:szCs w:val="32"/>
      <w:lang w:val="hr-HR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7E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7E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2C5"/>
    <w:rPr>
      <w:rFonts w:ascii="Calibri" w:eastAsiaTheme="majorEastAsia" w:hAnsi="Calibri" w:cstheme="majorBidi"/>
      <w:b/>
      <w:bCs/>
      <w:color w:val="800000"/>
      <w:sz w:val="32"/>
      <w:szCs w:val="32"/>
      <w:lang w:val="hr-HR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A542C5"/>
  </w:style>
  <w:style w:type="paragraph" w:styleId="Header">
    <w:name w:val="header"/>
    <w:basedOn w:val="Normal"/>
    <w:link w:val="HeaderChar"/>
    <w:uiPriority w:val="99"/>
    <w:unhideWhenUsed/>
    <w:rsid w:val="00A542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42C5"/>
    <w:rPr>
      <w:rFonts w:ascii="Roboto" w:eastAsia="Roboto" w:hAnsi="Roboto" w:cs="Roboto"/>
      <w:sz w:val="22"/>
      <w:szCs w:val="22"/>
      <w:lang w:val="pl-PL"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A542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42C5"/>
    <w:rPr>
      <w:rFonts w:ascii="Roboto" w:eastAsia="Roboto" w:hAnsi="Roboto" w:cs="Roboto"/>
      <w:sz w:val="22"/>
      <w:szCs w:val="22"/>
      <w:lang w:val="pl-PL" w:eastAsia="pl-PL" w:bidi="pl-PL"/>
    </w:rPr>
  </w:style>
  <w:style w:type="table" w:styleId="TableGrid">
    <w:name w:val="Table Grid"/>
    <w:basedOn w:val="TableNormal"/>
    <w:uiPriority w:val="39"/>
    <w:rsid w:val="00A542C5"/>
    <w:pPr>
      <w:widowControl w:val="0"/>
      <w:autoSpaceDE w:val="0"/>
      <w:autoSpaceDN w:val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542C5"/>
  </w:style>
  <w:style w:type="character" w:styleId="Hyperlink">
    <w:name w:val="Hyperlink"/>
    <w:basedOn w:val="DefaultParagraphFont"/>
    <w:uiPriority w:val="99"/>
    <w:unhideWhenUsed/>
    <w:rsid w:val="00A542C5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542C5"/>
    <w:pPr>
      <w:jc w:val="left"/>
      <w:outlineLvl w:val="9"/>
    </w:pPr>
    <w:rPr>
      <w:color w:val="2F5496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542C5"/>
    <w:pPr>
      <w:spacing w:before="120"/>
    </w:pPr>
    <w:rPr>
      <w:rFonts w:asciiTheme="minorHAnsi" w:hAnsiTheme="minorHAnsi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A542C5"/>
    <w:rPr>
      <w:rFonts w:ascii="Roboto" w:eastAsia="Roboto" w:hAnsi="Roboto" w:cs="Roboto"/>
      <w:sz w:val="22"/>
      <w:szCs w:val="22"/>
      <w:lang w:val="pl-PL" w:eastAsia="pl-PL" w:bidi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83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839"/>
    <w:rPr>
      <w:rFonts w:ascii="Times New Roman" w:eastAsia="Roboto" w:hAnsi="Times New Roman" w:cs="Times New Roman"/>
      <w:sz w:val="18"/>
      <w:szCs w:val="18"/>
      <w:lang w:val="pl-PL" w:eastAsia="pl-PL" w:bidi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460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460A"/>
    <w:rPr>
      <w:rFonts w:ascii="Roboto" w:eastAsia="Roboto" w:hAnsi="Roboto" w:cs="Roboto"/>
      <w:sz w:val="20"/>
      <w:szCs w:val="20"/>
      <w:lang w:val="pl-PL" w:eastAsia="pl-PL" w:bidi="pl-PL"/>
    </w:rPr>
  </w:style>
  <w:style w:type="character" w:styleId="FootnoteReference">
    <w:name w:val="footnote reference"/>
    <w:basedOn w:val="DefaultParagraphFont"/>
    <w:uiPriority w:val="99"/>
    <w:semiHidden/>
    <w:unhideWhenUsed/>
    <w:rsid w:val="0072460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2F4C4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CF7E3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 w:eastAsia="pl-PL" w:bidi="pl-PL"/>
    </w:rPr>
  </w:style>
  <w:style w:type="character" w:customStyle="1" w:styleId="Heading3Char">
    <w:name w:val="Heading 3 Char"/>
    <w:basedOn w:val="DefaultParagraphFont"/>
    <w:link w:val="Heading3"/>
    <w:uiPriority w:val="9"/>
    <w:rsid w:val="00CF7E34"/>
    <w:rPr>
      <w:rFonts w:asciiTheme="majorHAnsi" w:eastAsiaTheme="majorEastAsia" w:hAnsiTheme="majorHAnsi" w:cstheme="majorBidi"/>
      <w:color w:val="1F3763" w:themeColor="accent1" w:themeShade="7F"/>
      <w:lang w:val="pl-PL" w:eastAsia="pl-PL" w:bidi="pl-PL"/>
    </w:rPr>
  </w:style>
  <w:style w:type="paragraph" w:styleId="TOC2">
    <w:name w:val="toc 2"/>
    <w:basedOn w:val="Normal"/>
    <w:next w:val="Normal"/>
    <w:autoRedefine/>
    <w:uiPriority w:val="39"/>
    <w:unhideWhenUsed/>
    <w:rsid w:val="00CE32A2"/>
    <w:pPr>
      <w:tabs>
        <w:tab w:val="left" w:pos="960"/>
        <w:tab w:val="right" w:leader="dot" w:pos="10086"/>
      </w:tabs>
      <w:spacing w:after="100"/>
      <w:ind w:left="220"/>
    </w:pPr>
    <w:rPr>
      <w:rFonts w:ascii="Arial" w:hAnsi="Arial" w:cs="Arial"/>
      <w:noProof/>
      <w:lang w:val="hr-HR"/>
    </w:rPr>
  </w:style>
  <w:style w:type="paragraph" w:styleId="TOC3">
    <w:name w:val="toc 3"/>
    <w:basedOn w:val="Normal"/>
    <w:next w:val="Normal"/>
    <w:autoRedefine/>
    <w:uiPriority w:val="39"/>
    <w:unhideWhenUsed/>
    <w:rsid w:val="00CF7E3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A54951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rsid w:val="006B12F2"/>
    <w:pPr>
      <w:widowControl/>
      <w:suppressAutoHyphens/>
      <w:autoSpaceDE/>
      <w:autoSpaceDN/>
      <w:spacing w:after="140" w:line="276" w:lineRule="auto"/>
    </w:pPr>
    <w:rPr>
      <w:rFonts w:ascii="Liberation Serif" w:eastAsia="SimSun" w:hAnsi="Liberation Serif" w:cs="Lucida Sans"/>
      <w:kern w:val="2"/>
      <w:sz w:val="24"/>
      <w:szCs w:val="24"/>
      <w:lang w:val="en-US" w:eastAsia="zh-CN" w:bidi="hi-IN"/>
    </w:rPr>
  </w:style>
  <w:style w:type="character" w:customStyle="1" w:styleId="BodyTextChar">
    <w:name w:val="Body Text Char"/>
    <w:basedOn w:val="DefaultParagraphFont"/>
    <w:link w:val="BodyText"/>
    <w:rsid w:val="006B12F2"/>
    <w:rPr>
      <w:rFonts w:ascii="Liberation Serif" w:eastAsia="SimSun" w:hAnsi="Liberation Serif" w:cs="Lucida Sans"/>
      <w:kern w:val="2"/>
      <w:lang w:eastAsia="zh-CN" w:bidi="hi-IN"/>
    </w:rPr>
  </w:style>
  <w:style w:type="paragraph" w:styleId="Caption">
    <w:name w:val="caption"/>
    <w:basedOn w:val="Normal"/>
    <w:qFormat/>
    <w:rsid w:val="006B12F2"/>
    <w:pPr>
      <w:widowControl/>
      <w:suppressLineNumbers/>
      <w:suppressAutoHyphens/>
      <w:autoSpaceDE/>
      <w:autoSpaceDN/>
      <w:spacing w:before="120" w:after="120"/>
    </w:pPr>
    <w:rPr>
      <w:rFonts w:ascii="Liberation Serif" w:eastAsia="SimSun" w:hAnsi="Liberation Serif" w:cs="Lucida Sans"/>
      <w:i/>
      <w:iCs/>
      <w:kern w:val="2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Normal"/>
    <w:qFormat/>
    <w:rsid w:val="006B12F2"/>
    <w:pPr>
      <w:suppressLineNumbers/>
      <w:suppressAutoHyphens/>
      <w:autoSpaceDE/>
      <w:autoSpaceDN/>
    </w:pPr>
    <w:rPr>
      <w:rFonts w:ascii="Liberation Serif" w:eastAsia="SimSun" w:hAnsi="Liberation Serif" w:cs="Lucida Sans"/>
      <w:kern w:val="2"/>
      <w:sz w:val="24"/>
      <w:szCs w:val="24"/>
      <w:lang w:val="en-US" w:eastAsia="zh-CN" w:bidi="hi-IN"/>
    </w:rPr>
  </w:style>
  <w:style w:type="paragraph" w:styleId="NormalWeb">
    <w:name w:val="Normal (Web)"/>
    <w:basedOn w:val="Normal"/>
    <w:uiPriority w:val="99"/>
    <w:semiHidden/>
    <w:unhideWhenUsed/>
    <w:rsid w:val="00C079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mailto:m.nikcevic@eprd.pl" TargetMode="External"/><Relationship Id="rId1" Type="http://schemas.openxmlformats.org/officeDocument/2006/relationships/hyperlink" Target="http://www.ikces.me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1C89D-80D6-2842-A46B-8241FB025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1910</Words>
  <Characters>10888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Curkovic</dc:creator>
  <cp:keywords/>
  <dc:description/>
  <cp:lastModifiedBy>Boris Curkovic</cp:lastModifiedBy>
  <cp:revision>2</cp:revision>
  <cp:lastPrinted>2020-09-26T22:48:00Z</cp:lastPrinted>
  <dcterms:created xsi:type="dcterms:W3CDTF">2020-11-17T12:18:00Z</dcterms:created>
  <dcterms:modified xsi:type="dcterms:W3CDTF">2020-11-17T12:18:00Z</dcterms:modified>
</cp:coreProperties>
</file>