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DDACA" w14:textId="77777777" w:rsidR="00C9517E" w:rsidRDefault="00C9517E" w:rsidP="009022B7">
      <w:pPr>
        <w:pStyle w:val="Heading1"/>
      </w:pPr>
    </w:p>
    <w:p w14:paraId="2C792920" w14:textId="77777777" w:rsidR="00F350E3" w:rsidRDefault="00F350E3" w:rsidP="00F350E3">
      <w:pPr>
        <w:rPr>
          <w:lang w:val="hr-HR" w:eastAsia="en-US" w:bidi="ar-SA"/>
        </w:rPr>
      </w:pPr>
    </w:p>
    <w:p w14:paraId="3F2B79FB" w14:textId="77777777" w:rsidR="00F350E3" w:rsidRDefault="00F350E3" w:rsidP="00F350E3">
      <w:pPr>
        <w:rPr>
          <w:lang w:val="hr-HR" w:eastAsia="en-US" w:bidi="ar-SA"/>
        </w:rPr>
      </w:pPr>
    </w:p>
    <w:p w14:paraId="01F3655C" w14:textId="1CA62CBF" w:rsidR="00F350E3" w:rsidRDefault="00F350E3" w:rsidP="00F350E3">
      <w:pPr>
        <w:rPr>
          <w:lang w:val="hr-HR" w:eastAsia="en-US" w:bidi="ar-SA"/>
        </w:rPr>
      </w:pPr>
    </w:p>
    <w:p w14:paraId="2E0F4B91" w14:textId="1BD2CBA6" w:rsidR="00F873DE" w:rsidRDefault="00F873DE" w:rsidP="00F350E3">
      <w:pPr>
        <w:rPr>
          <w:lang w:val="hr-HR" w:eastAsia="en-US" w:bidi="ar-SA"/>
        </w:rPr>
      </w:pPr>
    </w:p>
    <w:p w14:paraId="00DB6E35" w14:textId="7D1FA4FE" w:rsidR="00F873DE" w:rsidRDefault="00F873DE" w:rsidP="00F350E3">
      <w:pPr>
        <w:rPr>
          <w:lang w:val="hr-HR" w:eastAsia="en-US" w:bidi="ar-SA"/>
        </w:rPr>
      </w:pPr>
    </w:p>
    <w:p w14:paraId="420997E4" w14:textId="0514CF56" w:rsidR="00F873DE" w:rsidRDefault="00F873DE" w:rsidP="00F350E3">
      <w:pPr>
        <w:rPr>
          <w:lang w:val="hr-HR" w:eastAsia="en-US" w:bidi="ar-SA"/>
        </w:rPr>
      </w:pPr>
    </w:p>
    <w:p w14:paraId="0A62D0FD" w14:textId="77777777" w:rsidR="00F873DE" w:rsidRDefault="00F873DE" w:rsidP="00F350E3">
      <w:pPr>
        <w:rPr>
          <w:lang w:val="hr-HR" w:eastAsia="en-US" w:bidi="ar-SA"/>
        </w:rPr>
      </w:pPr>
    </w:p>
    <w:p w14:paraId="71841F5C" w14:textId="77777777" w:rsidR="00F350E3" w:rsidRPr="00F350E3" w:rsidRDefault="00F350E3" w:rsidP="00F350E3">
      <w:pPr>
        <w:rPr>
          <w:lang w:val="hr-HR" w:eastAsia="en-US" w:bidi="ar-SA"/>
        </w:rPr>
      </w:pPr>
    </w:p>
    <w:p w14:paraId="42A41352" w14:textId="77777777" w:rsidR="006812EF" w:rsidRDefault="006812EF" w:rsidP="009022B7">
      <w:pPr>
        <w:pStyle w:val="Heading1"/>
        <w:rPr>
          <w:rFonts w:ascii="Roboto" w:hAnsi="Roboto"/>
          <w:sz w:val="36"/>
        </w:rPr>
      </w:pPr>
      <w:r>
        <w:rPr>
          <w:rFonts w:ascii="Roboto" w:hAnsi="Roboto"/>
          <w:sz w:val="36"/>
        </w:rPr>
        <w:t>Prilog 7:</w:t>
      </w:r>
    </w:p>
    <w:p w14:paraId="326F454F" w14:textId="29412137" w:rsidR="00C9517E" w:rsidRPr="007177CA" w:rsidRDefault="00F350E3" w:rsidP="009022B7">
      <w:pPr>
        <w:pStyle w:val="Heading1"/>
        <w:rPr>
          <w:rFonts w:ascii="Roboto" w:hAnsi="Roboto"/>
          <w:sz w:val="36"/>
        </w:rPr>
      </w:pPr>
      <w:r w:rsidRPr="007177CA">
        <w:rPr>
          <w:rFonts w:ascii="Roboto" w:hAnsi="Roboto"/>
          <w:sz w:val="36"/>
        </w:rPr>
        <w:t>Plan izgradnje kapaciteta</w:t>
      </w:r>
    </w:p>
    <w:p w14:paraId="65F27E2E" w14:textId="77777777" w:rsidR="00F350E3" w:rsidRPr="007177CA" w:rsidRDefault="00F350E3" w:rsidP="00F350E3">
      <w:pPr>
        <w:jc w:val="both"/>
        <w:rPr>
          <w:b/>
          <w:color w:val="800000"/>
          <w:sz w:val="24"/>
          <w:szCs w:val="24"/>
          <w:lang w:val="hr-HR"/>
        </w:rPr>
      </w:pPr>
    </w:p>
    <w:p w14:paraId="0CBED84E" w14:textId="77777777" w:rsidR="00F350E3" w:rsidRPr="00425775" w:rsidRDefault="00F350E3" w:rsidP="00F350E3">
      <w:pPr>
        <w:rPr>
          <w:lang w:val="en-GB"/>
        </w:rPr>
      </w:pPr>
    </w:p>
    <w:p w14:paraId="5B63899F" w14:textId="77777777" w:rsidR="00C9517E" w:rsidRPr="007177CA" w:rsidRDefault="00C9517E" w:rsidP="009022B7">
      <w:pPr>
        <w:pStyle w:val="Heading1"/>
        <w:rPr>
          <w:rFonts w:ascii="Roboto" w:hAnsi="Roboto"/>
        </w:rPr>
      </w:pPr>
    </w:p>
    <w:p w14:paraId="65A0C79C" w14:textId="77777777" w:rsidR="00A0224C" w:rsidRPr="006F7479" w:rsidRDefault="00A0224C" w:rsidP="009022B7">
      <w:pPr>
        <w:spacing w:line="276" w:lineRule="auto"/>
        <w:rPr>
          <w:rFonts w:ascii="Calibri" w:hAnsi="Calibri"/>
          <w:sz w:val="20"/>
          <w:szCs w:val="20"/>
          <w:lang w:val="hr-HR"/>
        </w:rPr>
        <w:sectPr w:rsidR="00A0224C" w:rsidRPr="006F7479" w:rsidSect="00EE64B0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10" w:h="16840"/>
          <w:pgMar w:top="2835" w:right="907" w:bottom="2155" w:left="907" w:header="709" w:footer="829" w:gutter="0"/>
          <w:cols w:space="708"/>
          <w:docGrid w:linePitch="299"/>
        </w:sectPr>
      </w:pPr>
    </w:p>
    <w:p w14:paraId="3A941715" w14:textId="20AB54A9" w:rsidR="00BB3FBB" w:rsidRPr="007177CA" w:rsidRDefault="007177CA" w:rsidP="003F6584">
      <w:pPr>
        <w:spacing w:before="100" w:after="100" w:line="360" w:lineRule="auto"/>
        <w:rPr>
          <w:b/>
          <w:color w:val="800000"/>
          <w:sz w:val="24"/>
          <w:lang w:val="hr-HR"/>
        </w:rPr>
      </w:pPr>
      <w:r w:rsidRPr="007177CA">
        <w:rPr>
          <w:b/>
          <w:color w:val="800000"/>
          <w:sz w:val="24"/>
          <w:lang w:val="hr-HR"/>
        </w:rPr>
        <w:lastRenderedPageBreak/>
        <w:t>Uvod</w:t>
      </w:r>
    </w:p>
    <w:p w14:paraId="46F53F7C" w14:textId="3E44746F" w:rsidR="003C39A3" w:rsidRDefault="009D132E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hr-HR"/>
        </w:rPr>
        <w:t xml:space="preserve">Imajući u vidu opšti cilj </w:t>
      </w:r>
      <w:r w:rsidR="000047EA">
        <w:rPr>
          <w:lang w:val="hr-HR"/>
        </w:rPr>
        <w:t>P</w:t>
      </w:r>
      <w:r>
        <w:rPr>
          <w:lang w:val="hr-HR"/>
        </w:rPr>
        <w:t xml:space="preserve">rojekta koji se odnosi na poboljšanje </w:t>
      </w:r>
      <w:r w:rsidRPr="009D132E">
        <w:rPr>
          <w:lang w:val="hr-HR"/>
        </w:rPr>
        <w:t>kvalitet</w:t>
      </w:r>
      <w:r>
        <w:rPr>
          <w:lang w:val="hr-HR"/>
        </w:rPr>
        <w:t xml:space="preserve">a </w:t>
      </w:r>
      <w:r w:rsidR="0011459A" w:rsidRPr="0011459A">
        <w:rPr>
          <w:lang w:val="hr-HR"/>
        </w:rPr>
        <w:t>obrazovanja na svim nivoima od predškolskog do visokog</w:t>
      </w:r>
      <w:r w:rsidR="0011459A">
        <w:rPr>
          <w:lang w:val="hr-HR"/>
        </w:rPr>
        <w:t>, pružanje podrške</w:t>
      </w:r>
      <w:r w:rsidRPr="009D132E">
        <w:rPr>
          <w:lang w:val="hr-HR"/>
        </w:rPr>
        <w:t xml:space="preserve"> </w:t>
      </w:r>
      <w:r>
        <w:rPr>
          <w:lang w:val="hr-HR"/>
        </w:rPr>
        <w:t>inicijalnom i kontinuiranom</w:t>
      </w:r>
      <w:r w:rsidRPr="009D132E">
        <w:rPr>
          <w:lang w:val="hr-HR"/>
        </w:rPr>
        <w:t xml:space="preserve"> </w:t>
      </w:r>
      <w:r>
        <w:rPr>
          <w:lang w:val="hr-HR"/>
        </w:rPr>
        <w:t xml:space="preserve">obrazovanju nastavnika i </w:t>
      </w:r>
      <w:r w:rsidR="0011459A">
        <w:rPr>
          <w:lang w:val="hr-HR"/>
        </w:rPr>
        <w:t>unapr</w:t>
      </w:r>
      <w:r w:rsidR="0011459A" w:rsidRPr="0011459A">
        <w:rPr>
          <w:lang w:val="hr-HR"/>
        </w:rPr>
        <w:t>eđenju sistema osiguranja kvaliteta</w:t>
      </w:r>
      <w:r>
        <w:rPr>
          <w:lang w:val="hr-HR"/>
        </w:rPr>
        <w:t xml:space="preserve">, razvijen je opšti </w:t>
      </w:r>
      <w:r w:rsidR="00DA7E3C">
        <w:rPr>
          <w:lang w:val="hr-HR"/>
        </w:rPr>
        <w:t>P</w:t>
      </w:r>
      <w:r>
        <w:rPr>
          <w:lang w:val="hr-HR"/>
        </w:rPr>
        <w:t xml:space="preserve">lan </w:t>
      </w:r>
      <w:r w:rsidR="00EA3AF0">
        <w:rPr>
          <w:lang w:val="hr-HR"/>
        </w:rPr>
        <w:t>izgradnje</w:t>
      </w:r>
      <w:r>
        <w:rPr>
          <w:lang w:val="hr-HR"/>
        </w:rPr>
        <w:t xml:space="preserve"> kapaciteta </w:t>
      </w:r>
      <w:r w:rsidR="00EA3AF0">
        <w:rPr>
          <w:lang w:val="hr-HR"/>
        </w:rPr>
        <w:t>učesnika</w:t>
      </w:r>
      <w:r w:rsidR="006D135A">
        <w:rPr>
          <w:lang w:val="hr-HR"/>
        </w:rPr>
        <w:t xml:space="preserve"> i korisnika Projekta </w:t>
      </w:r>
      <w:r w:rsidR="00BF3F2D" w:rsidRPr="00BF3F2D">
        <w:rPr>
          <w:lang w:val="hr-HR"/>
        </w:rPr>
        <w:t xml:space="preserve">koji su od ključne važnosti za </w:t>
      </w:r>
      <w:r w:rsidR="006D135A">
        <w:rPr>
          <w:lang w:val="hr-HR"/>
        </w:rPr>
        <w:t xml:space="preserve">njegovu </w:t>
      </w:r>
      <w:r w:rsidR="00BF3F2D" w:rsidRPr="00BF3F2D">
        <w:rPr>
          <w:lang w:val="hr-HR"/>
        </w:rPr>
        <w:t xml:space="preserve">realizaciju </w:t>
      </w:r>
      <w:r w:rsidR="006D135A">
        <w:rPr>
          <w:lang w:val="hr-HR"/>
        </w:rPr>
        <w:t>i</w:t>
      </w:r>
      <w:r w:rsidR="00BF3F2D" w:rsidRPr="00BF3F2D">
        <w:rPr>
          <w:lang w:val="hr-HR"/>
        </w:rPr>
        <w:t xml:space="preserve"> održivost.</w:t>
      </w:r>
      <w:r w:rsidR="00BF3F2D">
        <w:rPr>
          <w:lang w:val="hr-HR"/>
        </w:rPr>
        <w:t xml:space="preserve"> Svrha ovog plana je osiguranje </w:t>
      </w:r>
      <w:r w:rsidR="00BF3F2D" w:rsidRPr="00B807DC">
        <w:rPr>
          <w:lang w:val="hr-HR"/>
        </w:rPr>
        <w:t>održiv</w:t>
      </w:r>
      <w:r w:rsidR="00BF3F2D">
        <w:rPr>
          <w:lang w:val="hr-HR"/>
        </w:rPr>
        <w:t>e</w:t>
      </w:r>
      <w:r w:rsidR="00BF3F2D" w:rsidRPr="00B807DC">
        <w:rPr>
          <w:lang w:val="hr-HR"/>
        </w:rPr>
        <w:t xml:space="preserve"> integracij</w:t>
      </w:r>
      <w:r w:rsidR="00BF3F2D">
        <w:rPr>
          <w:lang w:val="hr-HR"/>
        </w:rPr>
        <w:t>e</w:t>
      </w:r>
      <w:r w:rsidR="00BF3F2D" w:rsidRPr="00B807DC">
        <w:rPr>
          <w:lang w:val="hr-HR"/>
        </w:rPr>
        <w:t xml:space="preserve"> </w:t>
      </w:r>
      <w:r w:rsidR="00BF3F2D">
        <w:rPr>
          <w:lang w:val="hr-HR"/>
        </w:rPr>
        <w:t xml:space="preserve">ključnih kompetencija </w:t>
      </w:r>
      <w:r w:rsidR="0011459A">
        <w:rPr>
          <w:lang w:val="hr-HR"/>
        </w:rPr>
        <w:t xml:space="preserve">za celoživotno učenje </w:t>
      </w:r>
      <w:r w:rsidR="006D135A">
        <w:rPr>
          <w:lang w:val="hr-HR"/>
        </w:rPr>
        <w:t xml:space="preserve">u obrazovni sistem Crne Gore, </w:t>
      </w:r>
      <w:r w:rsidR="0011459A">
        <w:rPr>
          <w:lang w:val="hr-HR"/>
        </w:rPr>
        <w:t>sa posebnim fokusom na MINT/STEM kompetenciju.</w:t>
      </w:r>
      <w:r w:rsidR="00BF3F2D">
        <w:rPr>
          <w:lang w:val="hr-HR"/>
        </w:rPr>
        <w:t xml:space="preserve"> </w:t>
      </w:r>
    </w:p>
    <w:p w14:paraId="268A6426" w14:textId="5046E208" w:rsidR="00BF3F2D" w:rsidRDefault="00EA3AF0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hr-HR"/>
        </w:rPr>
        <w:t>U literatur</w:t>
      </w:r>
      <w:r w:rsidRPr="00EA3AF0">
        <w:rPr>
          <w:lang w:val="hr-HR"/>
        </w:rPr>
        <w:t>I</w:t>
      </w:r>
      <w:r>
        <w:rPr>
          <w:lang w:val="hr-HR"/>
        </w:rPr>
        <w:t xml:space="preserve">, </w:t>
      </w:r>
      <w:r w:rsidR="00DA7E3C">
        <w:rPr>
          <w:lang w:val="hr-HR"/>
        </w:rPr>
        <w:t>i</w:t>
      </w:r>
      <w:r w:rsidRPr="00EA3AF0">
        <w:rPr>
          <w:lang w:val="hr-HR"/>
        </w:rPr>
        <w:t>zgradnja (ili razvoj</w:t>
      </w:r>
      <w:r>
        <w:rPr>
          <w:lang w:val="hr-HR"/>
        </w:rPr>
        <w:t>)</w:t>
      </w:r>
      <w:r w:rsidRPr="00EA3AF0">
        <w:rPr>
          <w:lang w:val="hr-HR"/>
        </w:rPr>
        <w:t xml:space="preserve"> </w:t>
      </w:r>
      <w:r>
        <w:rPr>
          <w:lang w:val="hr-HR"/>
        </w:rPr>
        <w:t>kapaciteta</w:t>
      </w:r>
      <w:r w:rsidRPr="00EA3AF0">
        <w:rPr>
          <w:lang w:val="hr-HR"/>
        </w:rPr>
        <w:t xml:space="preserve"> </w:t>
      </w:r>
      <w:r>
        <w:rPr>
          <w:lang w:val="hr-HR"/>
        </w:rPr>
        <w:t xml:space="preserve">se </w:t>
      </w:r>
      <w:r w:rsidR="006D135A">
        <w:rPr>
          <w:lang w:val="hr-HR"/>
        </w:rPr>
        <w:t>naj</w:t>
      </w:r>
      <w:r w:rsidR="006D135A">
        <w:rPr>
          <w:lang w:val="sr-Latn-RS"/>
        </w:rPr>
        <w:t>češće</w:t>
      </w:r>
      <w:r>
        <w:rPr>
          <w:lang w:val="hr-HR"/>
        </w:rPr>
        <w:t xml:space="preserve"> objašnjava kao </w:t>
      </w:r>
      <w:r w:rsidRPr="00EA3AF0">
        <w:rPr>
          <w:lang w:val="hr-HR"/>
        </w:rPr>
        <w:t xml:space="preserve">proces kojim pojedinci i organizacije stiču, unapređuju i zadržavaju veštine, znanje, alate, </w:t>
      </w:r>
      <w:r>
        <w:rPr>
          <w:lang w:val="hr-HR"/>
        </w:rPr>
        <w:t>mrež</w:t>
      </w:r>
      <w:r w:rsidR="00DA7E3C">
        <w:rPr>
          <w:lang w:val="hr-HR"/>
        </w:rPr>
        <w:t>e</w:t>
      </w:r>
      <w:r w:rsidRPr="00EA3AF0">
        <w:rPr>
          <w:lang w:val="hr-HR"/>
        </w:rPr>
        <w:t xml:space="preserve"> i druge resurse potrebne za kompetentno obavljanje svojih poslova. </w:t>
      </w:r>
    </w:p>
    <w:p w14:paraId="3C4325F9" w14:textId="50CFA143" w:rsidR="00E71DDD" w:rsidRDefault="003C39A3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hr-HR"/>
        </w:rPr>
        <w:t>Metodologija i</w:t>
      </w:r>
      <w:r w:rsidR="00811D89" w:rsidRPr="00811D89">
        <w:rPr>
          <w:lang w:val="hr-HR"/>
        </w:rPr>
        <w:t>zgradnj</w:t>
      </w:r>
      <w:r>
        <w:rPr>
          <w:lang w:val="hr-HR"/>
        </w:rPr>
        <w:t>e</w:t>
      </w:r>
      <w:r w:rsidR="00811D89" w:rsidRPr="00811D89">
        <w:rPr>
          <w:lang w:val="hr-HR"/>
        </w:rPr>
        <w:t xml:space="preserve"> kapaciteta </w:t>
      </w:r>
      <w:r w:rsidR="006237BE">
        <w:rPr>
          <w:lang w:val="hr-HR"/>
        </w:rPr>
        <w:t xml:space="preserve">obuhvata Individualni i institucionalni nivo i u  </w:t>
      </w:r>
      <w:r>
        <w:rPr>
          <w:lang w:val="hr-HR"/>
        </w:rPr>
        <w:t xml:space="preserve">potpunosti prati </w:t>
      </w:r>
      <w:r w:rsidR="006237BE">
        <w:rPr>
          <w:lang w:val="hr-HR"/>
        </w:rPr>
        <w:t xml:space="preserve">i podržava </w:t>
      </w:r>
      <w:r>
        <w:rPr>
          <w:lang w:val="hr-HR"/>
        </w:rPr>
        <w:t>koncept ili filosofiju celoživotnog učenja kao centralnog pristupa u implementaciji i sastavni</w:t>
      </w:r>
      <w:r w:rsidRPr="00811D89">
        <w:rPr>
          <w:lang w:val="hr-HR"/>
        </w:rPr>
        <w:t xml:space="preserve"> </w:t>
      </w:r>
      <w:r w:rsidR="00811D89" w:rsidRPr="00811D89">
        <w:rPr>
          <w:lang w:val="hr-HR"/>
        </w:rPr>
        <w:t xml:space="preserve">je </w:t>
      </w:r>
      <w:r w:rsidR="006D2824">
        <w:rPr>
          <w:lang w:val="hr-HR"/>
        </w:rPr>
        <w:t>deo</w:t>
      </w:r>
      <w:r w:rsidR="001F1D48">
        <w:rPr>
          <w:lang w:val="hr-HR"/>
        </w:rPr>
        <w:t xml:space="preserve"> svih intervencija </w:t>
      </w:r>
      <w:r w:rsidR="000047EA">
        <w:rPr>
          <w:lang w:val="hr-HR"/>
        </w:rPr>
        <w:t>p</w:t>
      </w:r>
      <w:r w:rsidR="005F1F6A">
        <w:rPr>
          <w:lang w:val="hr-HR"/>
        </w:rPr>
        <w:t>roje</w:t>
      </w:r>
      <w:r w:rsidR="00917A81">
        <w:rPr>
          <w:lang w:val="hr-HR"/>
        </w:rPr>
        <w:t>kta</w:t>
      </w:r>
      <w:r>
        <w:rPr>
          <w:lang w:val="hr-HR"/>
        </w:rPr>
        <w:t>.</w:t>
      </w:r>
      <w:r w:rsidR="005E729D">
        <w:rPr>
          <w:lang w:val="hr-HR"/>
        </w:rPr>
        <w:t xml:space="preserve"> Individualni </w:t>
      </w:r>
      <w:r w:rsidR="006237BE">
        <w:rPr>
          <w:lang w:val="hr-HR"/>
        </w:rPr>
        <w:t xml:space="preserve">nivo </w:t>
      </w:r>
      <w:r w:rsidR="00796829">
        <w:rPr>
          <w:lang w:val="hr-HR"/>
        </w:rPr>
        <w:t>omogućava</w:t>
      </w:r>
      <w:r w:rsidR="00A232A2" w:rsidRPr="00A232A2">
        <w:rPr>
          <w:lang w:val="hr-HR"/>
        </w:rPr>
        <w:t xml:space="preserve"> </w:t>
      </w:r>
      <w:r w:rsidR="00796829">
        <w:rPr>
          <w:lang w:val="hr-HR"/>
        </w:rPr>
        <w:t xml:space="preserve">pojedincima </w:t>
      </w:r>
      <w:r w:rsidR="00A232A2" w:rsidRPr="00A232A2">
        <w:rPr>
          <w:lang w:val="hr-HR"/>
        </w:rPr>
        <w:t xml:space="preserve">da </w:t>
      </w:r>
      <w:r w:rsidR="00A526FF">
        <w:rPr>
          <w:lang w:val="hr-HR"/>
        </w:rPr>
        <w:t>razvijaju</w:t>
      </w:r>
      <w:r w:rsidR="00796829">
        <w:rPr>
          <w:lang w:val="hr-HR"/>
        </w:rPr>
        <w:t xml:space="preserve"> i unapređuju </w:t>
      </w:r>
      <w:r w:rsidR="006237BE">
        <w:rPr>
          <w:lang w:val="hr-HR"/>
        </w:rPr>
        <w:t xml:space="preserve">svoje </w:t>
      </w:r>
      <w:r w:rsidR="00796829">
        <w:rPr>
          <w:lang w:val="hr-HR"/>
        </w:rPr>
        <w:t>znanj</w:t>
      </w:r>
      <w:r w:rsidR="005E729D">
        <w:rPr>
          <w:lang w:val="hr-HR"/>
        </w:rPr>
        <w:t>a</w:t>
      </w:r>
      <w:r w:rsidR="00796829">
        <w:rPr>
          <w:lang w:val="hr-HR"/>
        </w:rPr>
        <w:t xml:space="preserve"> i veštine i upućuje </w:t>
      </w:r>
      <w:r w:rsidR="005E729D">
        <w:rPr>
          <w:lang w:val="hr-HR"/>
        </w:rPr>
        <w:t xml:space="preserve">na </w:t>
      </w:r>
      <w:r w:rsidR="006237BE">
        <w:rPr>
          <w:lang w:val="hr-HR"/>
        </w:rPr>
        <w:t>procesno učenje</w:t>
      </w:r>
      <w:r w:rsidR="00796829">
        <w:rPr>
          <w:lang w:val="hr-HR"/>
        </w:rPr>
        <w:t xml:space="preserve"> </w:t>
      </w:r>
      <w:r w:rsidR="005E729D">
        <w:rPr>
          <w:lang w:val="hr-HR"/>
        </w:rPr>
        <w:t>kojim bi se</w:t>
      </w:r>
      <w:r w:rsidR="00796829">
        <w:rPr>
          <w:lang w:val="hr-HR"/>
        </w:rPr>
        <w:t xml:space="preserve"> uvele </w:t>
      </w:r>
      <w:r w:rsidR="006237BE">
        <w:rPr>
          <w:lang w:val="hr-HR"/>
        </w:rPr>
        <w:t xml:space="preserve">sistemske </w:t>
      </w:r>
      <w:r w:rsidR="00796829">
        <w:rPr>
          <w:lang w:val="hr-HR"/>
        </w:rPr>
        <w:t xml:space="preserve">promene i njima prilagodilo. </w:t>
      </w:r>
      <w:r w:rsidR="005E729D">
        <w:rPr>
          <w:lang w:val="hr-HR"/>
        </w:rPr>
        <w:t>Institucionalni nivo</w:t>
      </w:r>
      <w:r w:rsidR="005E729D" w:rsidRPr="005E729D">
        <w:rPr>
          <w:lang w:val="hr-HR"/>
        </w:rPr>
        <w:t xml:space="preserve"> uključuje pružanje podrške u formiranju </w:t>
      </w:r>
      <w:r w:rsidR="005E729D">
        <w:rPr>
          <w:lang w:val="hr-HR"/>
        </w:rPr>
        <w:t xml:space="preserve">željenih </w:t>
      </w:r>
      <w:r w:rsidR="005E729D" w:rsidRPr="005E729D">
        <w:rPr>
          <w:lang w:val="hr-HR"/>
        </w:rPr>
        <w:t>politika</w:t>
      </w:r>
      <w:r w:rsidR="005E729D">
        <w:rPr>
          <w:lang w:val="hr-HR"/>
        </w:rPr>
        <w:t xml:space="preserve"> obrazovanja</w:t>
      </w:r>
      <w:r w:rsidR="005E729D" w:rsidRPr="005E729D">
        <w:rPr>
          <w:lang w:val="hr-HR"/>
        </w:rPr>
        <w:t xml:space="preserve"> i efikasnih metoda </w:t>
      </w:r>
      <w:r w:rsidR="005E729D">
        <w:rPr>
          <w:lang w:val="hr-HR"/>
        </w:rPr>
        <w:t xml:space="preserve">praćenja i vrednovanja nihove primene. </w:t>
      </w:r>
      <w:r>
        <w:rPr>
          <w:lang w:val="hr-HR"/>
        </w:rPr>
        <w:t xml:space="preserve">Holistički pristup celoživotnog obrazovanja </w:t>
      </w:r>
      <w:r w:rsidR="00DA7E3C">
        <w:rPr>
          <w:lang w:val="hr-HR"/>
        </w:rPr>
        <w:t xml:space="preserve">uključujuje i druge oblike </w:t>
      </w:r>
      <w:r w:rsidR="000047EA">
        <w:rPr>
          <w:lang w:val="hr-HR"/>
        </w:rPr>
        <w:t xml:space="preserve">izgradnje kapaciteta </w:t>
      </w:r>
      <w:r w:rsidR="00DA7E3C">
        <w:rPr>
          <w:lang w:val="hr-HR"/>
        </w:rPr>
        <w:t xml:space="preserve">pored </w:t>
      </w:r>
      <w:r w:rsidR="00A526FF">
        <w:rPr>
          <w:lang w:val="hr-HR"/>
        </w:rPr>
        <w:t xml:space="preserve">razvoja i provođenja </w:t>
      </w:r>
      <w:r w:rsidR="00105E62">
        <w:rPr>
          <w:lang w:val="hr-HR"/>
        </w:rPr>
        <w:t xml:space="preserve">specifičnih </w:t>
      </w:r>
      <w:r w:rsidR="00DA7E3C">
        <w:rPr>
          <w:lang w:val="hr-HR"/>
        </w:rPr>
        <w:t>obuka</w:t>
      </w:r>
      <w:r w:rsidR="00A526FF">
        <w:rPr>
          <w:lang w:val="hr-HR"/>
        </w:rPr>
        <w:t xml:space="preserve"> prema procenjenim potrebama</w:t>
      </w:r>
      <w:r w:rsidR="00105E62">
        <w:rPr>
          <w:lang w:val="hr-HR"/>
        </w:rPr>
        <w:t xml:space="preserve">. </w:t>
      </w:r>
      <w:r w:rsidR="000047EA">
        <w:rPr>
          <w:lang w:val="hr-HR"/>
        </w:rPr>
        <w:t>On obuhvata</w:t>
      </w:r>
      <w:r w:rsidR="00A54FB3">
        <w:rPr>
          <w:lang w:val="hr-HR"/>
        </w:rPr>
        <w:t xml:space="preserve"> </w:t>
      </w:r>
      <w:r w:rsidR="00A526FF">
        <w:rPr>
          <w:lang w:val="hr-HR"/>
        </w:rPr>
        <w:t xml:space="preserve">intezivnu </w:t>
      </w:r>
      <w:r w:rsidR="00A54FB3">
        <w:rPr>
          <w:lang w:val="hr-HR"/>
        </w:rPr>
        <w:t>međusektorsku saradnju ustanova za obrazovanje</w:t>
      </w:r>
      <w:r w:rsidR="00B87EAD">
        <w:rPr>
          <w:lang w:val="hr-HR"/>
        </w:rPr>
        <w:t xml:space="preserve">, </w:t>
      </w:r>
      <w:r w:rsidR="00A526FF">
        <w:rPr>
          <w:lang w:val="hr-HR"/>
        </w:rPr>
        <w:t>razvoj mreže</w:t>
      </w:r>
      <w:r w:rsidR="00927F70">
        <w:rPr>
          <w:lang w:val="hr-HR"/>
        </w:rPr>
        <w:t xml:space="preserve"> sa zajednicom, raznolikost pristupa i oblika učenja</w:t>
      </w:r>
      <w:r w:rsidR="00105E62">
        <w:rPr>
          <w:lang w:val="hr-HR"/>
        </w:rPr>
        <w:t xml:space="preserve"> </w:t>
      </w:r>
      <w:r w:rsidR="00927F70">
        <w:rPr>
          <w:lang w:val="hr-HR"/>
        </w:rPr>
        <w:t xml:space="preserve">kao što su </w:t>
      </w:r>
      <w:r w:rsidR="000351C8">
        <w:rPr>
          <w:lang w:val="hr-HR"/>
        </w:rPr>
        <w:t>sastan</w:t>
      </w:r>
      <w:r w:rsidR="00927F70">
        <w:rPr>
          <w:lang w:val="hr-HR"/>
        </w:rPr>
        <w:t>ci</w:t>
      </w:r>
      <w:r w:rsidR="000351C8">
        <w:rPr>
          <w:lang w:val="hr-HR"/>
        </w:rPr>
        <w:t xml:space="preserve"> radnih grupa</w:t>
      </w:r>
      <w:r w:rsidR="00B87EAD">
        <w:rPr>
          <w:lang w:val="hr-HR"/>
        </w:rPr>
        <w:t xml:space="preserve"> i timova,</w:t>
      </w:r>
      <w:r w:rsidR="000351C8">
        <w:rPr>
          <w:lang w:val="hr-HR"/>
        </w:rPr>
        <w:t xml:space="preserve"> fokus grup</w:t>
      </w:r>
      <w:r w:rsidR="00B87EAD">
        <w:rPr>
          <w:lang w:val="hr-HR"/>
        </w:rPr>
        <w:t>e</w:t>
      </w:r>
      <w:r w:rsidR="00E71DDD">
        <w:rPr>
          <w:lang w:val="hr-HR"/>
        </w:rPr>
        <w:t xml:space="preserve">, </w:t>
      </w:r>
      <w:r w:rsidR="00F421DF">
        <w:rPr>
          <w:lang w:val="hr-HR"/>
        </w:rPr>
        <w:t xml:space="preserve">, istraživanje potreba korisnika, </w:t>
      </w:r>
      <w:r w:rsidR="005F1F6A">
        <w:rPr>
          <w:lang w:val="hr-HR"/>
        </w:rPr>
        <w:t>savatovanje</w:t>
      </w:r>
      <w:r w:rsidR="00F421DF">
        <w:rPr>
          <w:lang w:val="hr-HR"/>
        </w:rPr>
        <w:t xml:space="preserve">, horizontalno ili </w:t>
      </w:r>
      <w:r w:rsidR="00E71DDD">
        <w:rPr>
          <w:lang w:val="hr-HR"/>
        </w:rPr>
        <w:t>kolegijalno učenje</w:t>
      </w:r>
      <w:r w:rsidR="005F1F6A">
        <w:rPr>
          <w:lang w:val="hr-HR"/>
        </w:rPr>
        <w:t>,</w:t>
      </w:r>
      <w:r w:rsidR="003B0B93">
        <w:rPr>
          <w:lang w:val="hr-HR"/>
        </w:rPr>
        <w:t xml:space="preserve"> odnosno</w:t>
      </w:r>
      <w:r w:rsidR="005F1F6A">
        <w:rPr>
          <w:lang w:val="hr-HR"/>
        </w:rPr>
        <w:t xml:space="preserve"> sve </w:t>
      </w:r>
      <w:r w:rsidR="00B87EAD">
        <w:rPr>
          <w:lang w:val="hr-HR"/>
        </w:rPr>
        <w:t>oblike</w:t>
      </w:r>
      <w:r w:rsidR="005F1F6A">
        <w:rPr>
          <w:lang w:val="hr-HR"/>
        </w:rPr>
        <w:t xml:space="preserve"> koj</w:t>
      </w:r>
      <w:r w:rsidR="00B87EAD">
        <w:rPr>
          <w:lang w:val="hr-HR"/>
        </w:rPr>
        <w:t>i</w:t>
      </w:r>
      <w:r w:rsidR="005F1F6A">
        <w:rPr>
          <w:lang w:val="hr-HR"/>
        </w:rPr>
        <w:t xml:space="preserve"> obuhvataju procesni rad, koji uz pomoć savremenih tehnologija mo</w:t>
      </w:r>
      <w:r w:rsidR="00927F70">
        <w:rPr>
          <w:lang w:val="hr-HR"/>
        </w:rPr>
        <w:t>gu</w:t>
      </w:r>
      <w:r w:rsidR="005F1F6A">
        <w:rPr>
          <w:lang w:val="hr-HR"/>
        </w:rPr>
        <w:t xml:space="preserve"> da se odvija</w:t>
      </w:r>
      <w:r w:rsidR="00927F70">
        <w:rPr>
          <w:lang w:val="hr-HR"/>
        </w:rPr>
        <w:t>ju</w:t>
      </w:r>
      <w:r w:rsidR="005F1F6A">
        <w:rPr>
          <w:lang w:val="hr-HR"/>
        </w:rPr>
        <w:t xml:space="preserve"> i na daljinu. </w:t>
      </w:r>
      <w:r w:rsidR="009252F5">
        <w:rPr>
          <w:lang w:val="hr-HR"/>
        </w:rPr>
        <w:t xml:space="preserve">U dinamičnom </w:t>
      </w:r>
      <w:r w:rsidR="00213560">
        <w:rPr>
          <w:lang w:val="hr-HR"/>
        </w:rPr>
        <w:t xml:space="preserve">i interaktivnom procesu </w:t>
      </w:r>
      <w:r w:rsidR="009252F5">
        <w:rPr>
          <w:lang w:val="hr-HR"/>
        </w:rPr>
        <w:t>izgradnje</w:t>
      </w:r>
      <w:r w:rsidR="005F1F6A">
        <w:rPr>
          <w:lang w:val="hr-HR"/>
        </w:rPr>
        <w:t xml:space="preserve"> kapaciteta </w:t>
      </w:r>
      <w:r w:rsidR="000351C8">
        <w:rPr>
          <w:lang w:val="hr-HR"/>
        </w:rPr>
        <w:t>stvara</w:t>
      </w:r>
      <w:r w:rsidR="00BF3F2D" w:rsidRPr="00811D89">
        <w:rPr>
          <w:lang w:val="hr-HR"/>
        </w:rPr>
        <w:t xml:space="preserve"> </w:t>
      </w:r>
      <w:r w:rsidR="005F1F6A">
        <w:rPr>
          <w:lang w:val="hr-HR"/>
        </w:rPr>
        <w:t xml:space="preserve">se </w:t>
      </w:r>
      <w:r w:rsidR="00BF3F2D" w:rsidRPr="00811D89">
        <w:rPr>
          <w:lang w:val="hr-HR"/>
        </w:rPr>
        <w:t>saglasje</w:t>
      </w:r>
      <w:r w:rsidR="00687A5D">
        <w:rPr>
          <w:lang w:val="hr-HR"/>
        </w:rPr>
        <w:t xml:space="preserve"> između</w:t>
      </w:r>
      <w:r w:rsidR="00BF3F2D" w:rsidRPr="00811D89">
        <w:rPr>
          <w:lang w:val="hr-HR"/>
        </w:rPr>
        <w:t xml:space="preserve"> institucionalnog okruženja</w:t>
      </w:r>
      <w:r w:rsidR="009252F5">
        <w:rPr>
          <w:lang w:val="hr-HR"/>
        </w:rPr>
        <w:t>,</w:t>
      </w:r>
      <w:r w:rsidR="00687A5D">
        <w:rPr>
          <w:lang w:val="hr-HR"/>
        </w:rPr>
        <w:t xml:space="preserve"> njegovih zahteva</w:t>
      </w:r>
      <w:r w:rsidR="00A31107" w:rsidRPr="00811D89">
        <w:rPr>
          <w:lang w:val="hr-HR"/>
        </w:rPr>
        <w:t xml:space="preserve"> </w:t>
      </w:r>
      <w:r w:rsidR="00BF3F2D" w:rsidRPr="00811D89">
        <w:rPr>
          <w:lang w:val="hr-HR"/>
        </w:rPr>
        <w:t xml:space="preserve">i </w:t>
      </w:r>
      <w:r w:rsidR="00213560">
        <w:rPr>
          <w:lang w:val="hr-HR"/>
        </w:rPr>
        <w:t>potrebnih</w:t>
      </w:r>
      <w:r w:rsidR="00BF3F2D" w:rsidRPr="00811D89">
        <w:rPr>
          <w:lang w:val="hr-HR"/>
        </w:rPr>
        <w:t xml:space="preserve"> </w:t>
      </w:r>
      <w:r w:rsidR="00A31107" w:rsidRPr="00811D89">
        <w:rPr>
          <w:lang w:val="hr-HR"/>
        </w:rPr>
        <w:t>re</w:t>
      </w:r>
      <w:r w:rsidR="00A31107">
        <w:rPr>
          <w:lang w:val="hr-HR"/>
        </w:rPr>
        <w:t xml:space="preserve">sursa </w:t>
      </w:r>
      <w:r w:rsidR="00BF3F2D" w:rsidRPr="00BF3F2D">
        <w:rPr>
          <w:lang w:val="hr-HR"/>
        </w:rPr>
        <w:t xml:space="preserve">za </w:t>
      </w:r>
      <w:r w:rsidR="00A31107">
        <w:rPr>
          <w:lang w:val="hr-HR"/>
        </w:rPr>
        <w:t>relizaciju</w:t>
      </w:r>
      <w:r w:rsidR="00BF3F2D" w:rsidRPr="00BF3F2D">
        <w:rPr>
          <w:lang w:val="hr-HR"/>
        </w:rPr>
        <w:t xml:space="preserve"> </w:t>
      </w:r>
      <w:r w:rsidR="00687A5D">
        <w:rPr>
          <w:lang w:val="hr-HR"/>
        </w:rPr>
        <w:t xml:space="preserve">projektnih zadataka na </w:t>
      </w:r>
      <w:r w:rsidR="00B87EAD">
        <w:rPr>
          <w:lang w:val="hr-HR"/>
        </w:rPr>
        <w:t xml:space="preserve">onaj </w:t>
      </w:r>
      <w:r w:rsidR="00687A5D">
        <w:rPr>
          <w:lang w:val="hr-HR"/>
        </w:rPr>
        <w:t xml:space="preserve">način kako </w:t>
      </w:r>
      <w:r w:rsidR="00E71DDD">
        <w:rPr>
          <w:lang w:val="hr-HR"/>
        </w:rPr>
        <w:t>to</w:t>
      </w:r>
      <w:r w:rsidR="00687A5D">
        <w:rPr>
          <w:lang w:val="hr-HR"/>
        </w:rPr>
        <w:t xml:space="preserve"> institucije korisnice defini</w:t>
      </w:r>
      <w:r w:rsidR="009252F5">
        <w:rPr>
          <w:lang w:val="hr-HR"/>
        </w:rPr>
        <w:t>šu i određuju</w:t>
      </w:r>
      <w:r w:rsidR="00687A5D">
        <w:rPr>
          <w:lang w:val="hr-HR"/>
        </w:rPr>
        <w:t>.</w:t>
      </w:r>
      <w:r w:rsidR="00E71DDD">
        <w:rPr>
          <w:lang w:val="hr-HR"/>
        </w:rPr>
        <w:t xml:space="preserve"> Ovim pristupom se osigurava „demand driven“ pristup razvoju kapaciteta, od</w:t>
      </w:r>
      <w:r w:rsidR="000047EA">
        <w:rPr>
          <w:lang w:val="hr-HR"/>
        </w:rPr>
        <w:t>nosno, pružanje onih znanja i v</w:t>
      </w:r>
      <w:r w:rsidR="00E71DDD">
        <w:rPr>
          <w:lang w:val="hr-HR"/>
        </w:rPr>
        <w:t xml:space="preserve">eština koje su sami korisnici naveli kao </w:t>
      </w:r>
      <w:r w:rsidR="00405FC4">
        <w:rPr>
          <w:lang w:val="hr-HR"/>
        </w:rPr>
        <w:t>potrebne za uspešn</w:t>
      </w:r>
      <w:r w:rsidR="00F878B9">
        <w:rPr>
          <w:lang w:val="hr-HR"/>
        </w:rPr>
        <w:t xml:space="preserve">u primenu evropskih </w:t>
      </w:r>
      <w:r w:rsidR="009252F5" w:rsidRPr="009252F5">
        <w:rPr>
          <w:lang w:val="hr-HR"/>
        </w:rPr>
        <w:t>obrazovn</w:t>
      </w:r>
      <w:r w:rsidR="00F878B9">
        <w:rPr>
          <w:lang w:val="hr-HR"/>
        </w:rPr>
        <w:t>ih</w:t>
      </w:r>
      <w:r w:rsidR="009252F5" w:rsidRPr="009252F5">
        <w:rPr>
          <w:lang w:val="hr-HR"/>
        </w:rPr>
        <w:t xml:space="preserve"> reform</w:t>
      </w:r>
      <w:r w:rsidR="00F878B9">
        <w:rPr>
          <w:lang w:val="hr-HR"/>
        </w:rPr>
        <w:t xml:space="preserve">i oličenih u </w:t>
      </w:r>
      <w:r w:rsidR="00213560">
        <w:rPr>
          <w:lang w:val="hr-HR"/>
        </w:rPr>
        <w:t xml:space="preserve">preporukama </w:t>
      </w:r>
      <w:r w:rsidR="00F878B9">
        <w:rPr>
          <w:lang w:val="hr-HR"/>
        </w:rPr>
        <w:t>Referen</w:t>
      </w:r>
      <w:r w:rsidR="00213560">
        <w:rPr>
          <w:lang w:val="hr-HR"/>
        </w:rPr>
        <w:t>tnog</w:t>
      </w:r>
      <w:r w:rsidR="00F878B9">
        <w:rPr>
          <w:lang w:val="hr-HR"/>
        </w:rPr>
        <w:t xml:space="preserve"> okvir</w:t>
      </w:r>
      <w:r w:rsidR="00213560">
        <w:rPr>
          <w:lang w:val="hr-HR"/>
        </w:rPr>
        <w:t>a</w:t>
      </w:r>
      <w:r w:rsidR="00F878B9">
        <w:rPr>
          <w:lang w:val="hr-HR"/>
        </w:rPr>
        <w:t xml:space="preserve"> </w:t>
      </w:r>
      <w:r w:rsidR="00F878B9" w:rsidRPr="00F878B9">
        <w:rPr>
          <w:lang w:val="hr-HR"/>
        </w:rPr>
        <w:t xml:space="preserve">ključnih </w:t>
      </w:r>
      <w:r w:rsidR="000047EA">
        <w:rPr>
          <w:lang w:val="hr-HR"/>
        </w:rPr>
        <w:t>kompetencija za c</w:t>
      </w:r>
      <w:r w:rsidR="00F878B9" w:rsidRPr="00F878B9">
        <w:rPr>
          <w:lang w:val="hr-HR"/>
        </w:rPr>
        <w:t>eloživotno učenje</w:t>
      </w:r>
      <w:r w:rsidR="00405FC4">
        <w:rPr>
          <w:lang w:val="hr-HR"/>
        </w:rPr>
        <w:t xml:space="preserve">. </w:t>
      </w:r>
    </w:p>
    <w:p w14:paraId="1A9A8DFA" w14:textId="37802C75" w:rsidR="00B807DC" w:rsidRPr="00405FC4" w:rsidRDefault="00FD504D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hr-HR"/>
        </w:rPr>
        <w:t xml:space="preserve">Razvoj ključnih kompetencija nije novina u obrazovnom sistemu Crne Gore, a osnovna namera plana izgradne kapaciteta </w:t>
      </w:r>
      <w:r w:rsidR="00B87EAD">
        <w:rPr>
          <w:lang w:val="hr-HR"/>
        </w:rPr>
        <w:t>učesnika</w:t>
      </w:r>
      <w:r>
        <w:rPr>
          <w:lang w:val="hr-HR"/>
        </w:rPr>
        <w:t xml:space="preserve"> u obrazovanju je da se </w:t>
      </w:r>
      <w:r w:rsidRPr="00FD504D">
        <w:rPr>
          <w:b/>
          <w:lang w:val="hr-HR"/>
        </w:rPr>
        <w:t>postigne ravnoteža i sistemski pristup u poboljšanju kvaliteta učenja i nastave kao osnovi za celoživotno učenje na svim obrazovnim nivoima</w:t>
      </w:r>
      <w:r>
        <w:rPr>
          <w:b/>
          <w:lang w:val="hr-HR"/>
        </w:rPr>
        <w:t>.</w:t>
      </w:r>
      <w:r w:rsidR="00405FC4">
        <w:rPr>
          <w:b/>
          <w:lang w:val="hr-HR"/>
        </w:rPr>
        <w:t xml:space="preserve"> </w:t>
      </w:r>
      <w:r w:rsidR="00405FC4">
        <w:rPr>
          <w:lang w:val="hr-HR"/>
        </w:rPr>
        <w:t>Ovo će obezbediti sinhronizacij</w:t>
      </w:r>
      <w:r w:rsidR="00DB0760">
        <w:rPr>
          <w:lang w:val="hr-HR"/>
        </w:rPr>
        <w:t>u</w:t>
      </w:r>
      <w:r w:rsidR="00405FC4">
        <w:rPr>
          <w:lang w:val="hr-HR"/>
        </w:rPr>
        <w:t xml:space="preserve"> tumačenja i razumevanja ishoda </w:t>
      </w:r>
      <w:r w:rsidR="00C37A51">
        <w:rPr>
          <w:lang w:val="hr-HR"/>
        </w:rPr>
        <w:t>Crnogorskog okvira</w:t>
      </w:r>
      <w:r w:rsidR="00405FC4">
        <w:rPr>
          <w:lang w:val="hr-HR"/>
        </w:rPr>
        <w:t>, njihov</w:t>
      </w:r>
      <w:r w:rsidR="00DB0760">
        <w:rPr>
          <w:lang w:val="hr-HR"/>
        </w:rPr>
        <w:t>u</w:t>
      </w:r>
      <w:r w:rsidR="00405FC4">
        <w:rPr>
          <w:lang w:val="hr-HR"/>
        </w:rPr>
        <w:t xml:space="preserve"> </w:t>
      </w:r>
      <w:r w:rsidR="00BD13AB">
        <w:rPr>
          <w:lang w:val="hr-HR"/>
        </w:rPr>
        <w:t>integraciju u nastavu i učenje</w:t>
      </w:r>
      <w:r w:rsidR="00405FC4">
        <w:rPr>
          <w:lang w:val="hr-HR"/>
        </w:rPr>
        <w:t xml:space="preserve"> i </w:t>
      </w:r>
      <w:r w:rsidR="00BD13AB">
        <w:rPr>
          <w:lang w:val="hr-HR"/>
        </w:rPr>
        <w:t>pružiti</w:t>
      </w:r>
      <w:r w:rsidR="00405FC4">
        <w:rPr>
          <w:lang w:val="hr-HR"/>
        </w:rPr>
        <w:t xml:space="preserve"> </w:t>
      </w:r>
      <w:r w:rsidR="00405FC4">
        <w:rPr>
          <w:lang w:val="hr-HR"/>
        </w:rPr>
        <w:lastRenderedPageBreak/>
        <w:t xml:space="preserve">povratne informacije </w:t>
      </w:r>
      <w:r w:rsidR="00BD13AB">
        <w:rPr>
          <w:lang w:val="hr-HR"/>
        </w:rPr>
        <w:t xml:space="preserve">donosiocima odluka </w:t>
      </w:r>
      <w:r w:rsidR="00405FC4">
        <w:rPr>
          <w:lang w:val="hr-HR"/>
        </w:rPr>
        <w:t xml:space="preserve">o rezultatima. </w:t>
      </w:r>
      <w:r w:rsidR="00405FC4" w:rsidRPr="00405FC4">
        <w:rPr>
          <w:lang w:val="hr-HR"/>
        </w:rPr>
        <w:t xml:space="preserve">Ukoliko se uspostavi povratni krug informacija u </w:t>
      </w:r>
      <w:r w:rsidR="00C37A51">
        <w:rPr>
          <w:lang w:val="hr-HR"/>
        </w:rPr>
        <w:t>primeni</w:t>
      </w:r>
      <w:r w:rsidR="00405FC4" w:rsidRPr="00405FC4">
        <w:rPr>
          <w:lang w:val="hr-HR"/>
        </w:rPr>
        <w:t xml:space="preserve"> </w:t>
      </w:r>
      <w:r w:rsidR="00405FC4">
        <w:rPr>
          <w:lang w:val="hr-HR"/>
        </w:rPr>
        <w:t xml:space="preserve">Crnogorskog okvirnog </w:t>
      </w:r>
      <w:r w:rsidR="00405FC4" w:rsidRPr="00405FC4">
        <w:rPr>
          <w:lang w:val="hr-HR"/>
        </w:rPr>
        <w:t xml:space="preserve"> programa </w:t>
      </w:r>
      <w:r w:rsidR="00DB0760">
        <w:rPr>
          <w:lang w:val="hr-HR"/>
        </w:rPr>
        <w:t>na svim nivoima obrazovanja</w:t>
      </w:r>
      <w:r w:rsidR="00405FC4" w:rsidRPr="00405FC4">
        <w:rPr>
          <w:lang w:val="hr-HR"/>
        </w:rPr>
        <w:t xml:space="preserve">, možemo govoriti o sistemskim pomacima u poboljšanju kvaliteta </w:t>
      </w:r>
      <w:r w:rsidR="002C3F36">
        <w:rPr>
          <w:lang w:val="hr-HR"/>
        </w:rPr>
        <w:t>učenja i nastave kao celoživotnog procesa.</w:t>
      </w:r>
      <w:r w:rsidR="00DB0760">
        <w:rPr>
          <w:lang w:val="hr-HR"/>
        </w:rPr>
        <w:t xml:space="preserve"> To znači, </w:t>
      </w:r>
      <w:r w:rsidR="00193E5B">
        <w:rPr>
          <w:lang w:val="hr-HR"/>
        </w:rPr>
        <w:t xml:space="preserve">s jedne strane, </w:t>
      </w:r>
      <w:r w:rsidR="00DB0760">
        <w:rPr>
          <w:lang w:val="hr-HR"/>
        </w:rPr>
        <w:t>da se u programe inicijalnog</w:t>
      </w:r>
      <w:r w:rsidR="00193E5B">
        <w:rPr>
          <w:lang w:val="hr-HR"/>
        </w:rPr>
        <w:t xml:space="preserve"> obrazovanja </w:t>
      </w:r>
      <w:r w:rsidR="00F421DF">
        <w:rPr>
          <w:lang w:val="hr-HR"/>
        </w:rPr>
        <w:t xml:space="preserve">nastavnika uvedu </w:t>
      </w:r>
      <w:r w:rsidR="00DB0760">
        <w:rPr>
          <w:lang w:val="hr-HR"/>
        </w:rPr>
        <w:t>znanja i veštine o razvoju celoživotnog učenja kod učenika, kao što je planirano</w:t>
      </w:r>
      <w:r w:rsidR="00193E5B">
        <w:t xml:space="preserve"> </w:t>
      </w:r>
      <w:r w:rsidR="00193E5B" w:rsidRPr="00193E5B">
        <w:rPr>
          <w:lang w:val="hr-HR"/>
        </w:rPr>
        <w:t>Strategijom obrazovanja nast</w:t>
      </w:r>
      <w:r w:rsidR="00193E5B">
        <w:rPr>
          <w:lang w:val="hr-HR"/>
        </w:rPr>
        <w:t>avnika u Crnoj Gori (2017-2024), i s druge, da se pr</w:t>
      </w:r>
      <w:r w:rsidR="004766BC">
        <w:rPr>
          <w:lang w:val="hr-HR"/>
        </w:rPr>
        <w:t>o</w:t>
      </w:r>
      <w:r w:rsidR="00193E5B">
        <w:rPr>
          <w:lang w:val="hr-HR"/>
        </w:rPr>
        <w:t xml:space="preserve">vedu </w:t>
      </w:r>
      <w:r w:rsidR="00C37A51">
        <w:rPr>
          <w:lang w:val="hr-HR"/>
        </w:rPr>
        <w:t>aktivnosti izgradnje kapaciteta</w:t>
      </w:r>
      <w:r w:rsidR="00C15A99">
        <w:rPr>
          <w:lang w:val="hr-HR"/>
        </w:rPr>
        <w:t xml:space="preserve"> prema prioritetima </w:t>
      </w:r>
      <w:r w:rsidR="00B87EAD">
        <w:rPr>
          <w:lang w:val="hr-HR"/>
        </w:rPr>
        <w:t xml:space="preserve">koje su predložili </w:t>
      </w:r>
      <w:r w:rsidR="00105E62">
        <w:rPr>
          <w:lang w:val="hr-HR"/>
        </w:rPr>
        <w:t xml:space="preserve">sami </w:t>
      </w:r>
      <w:r w:rsidR="006D135A">
        <w:rPr>
          <w:lang w:val="hr-HR"/>
        </w:rPr>
        <w:t>nastavnici</w:t>
      </w:r>
      <w:r w:rsidR="00105E62">
        <w:rPr>
          <w:lang w:val="hr-HR"/>
        </w:rPr>
        <w:t xml:space="preserve"> kroz</w:t>
      </w:r>
      <w:r w:rsidR="00B87EAD">
        <w:rPr>
          <w:lang w:val="hr-HR"/>
        </w:rPr>
        <w:t xml:space="preserve"> rezultat iistraživanja njihovih potreba </w:t>
      </w:r>
      <w:r w:rsidR="00193E5B">
        <w:rPr>
          <w:lang w:val="hr-HR"/>
        </w:rPr>
        <w:t xml:space="preserve">kao i merenje i praćenje </w:t>
      </w:r>
      <w:r w:rsidR="00B87EAD">
        <w:rPr>
          <w:lang w:val="hr-HR"/>
        </w:rPr>
        <w:t>efikasnosti primene novina</w:t>
      </w:r>
      <w:r w:rsidR="00193E5B">
        <w:rPr>
          <w:lang w:val="hr-HR"/>
        </w:rPr>
        <w:t xml:space="preserve">. </w:t>
      </w:r>
      <w:r w:rsidR="00193E5B" w:rsidRPr="00193E5B">
        <w:rPr>
          <w:lang w:val="hr-HR"/>
        </w:rPr>
        <w:t xml:space="preserve">  </w:t>
      </w:r>
      <w:r w:rsidR="00DB0760">
        <w:rPr>
          <w:lang w:val="hr-HR"/>
        </w:rPr>
        <w:t xml:space="preserve"> </w:t>
      </w:r>
    </w:p>
    <w:p w14:paraId="1F54894E" w14:textId="7DD15E87" w:rsidR="00365C4B" w:rsidRDefault="00AA7669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hr-HR"/>
        </w:rPr>
        <w:t xml:space="preserve">Okvir za planiranje razvoja kapaciteta čine </w:t>
      </w:r>
      <w:r w:rsidRPr="00AA7669">
        <w:rPr>
          <w:lang w:val="hr-HR"/>
        </w:rPr>
        <w:t xml:space="preserve">Crnogorski okvir </w:t>
      </w:r>
      <w:r w:rsidR="004766BC">
        <w:rPr>
          <w:lang w:val="hr-HR"/>
        </w:rPr>
        <w:t>ključnih</w:t>
      </w:r>
      <w:r w:rsidRPr="00AA7669">
        <w:rPr>
          <w:lang w:val="hr-HR"/>
        </w:rPr>
        <w:t xml:space="preserve"> kompetencij</w:t>
      </w:r>
      <w:r w:rsidR="004766BC">
        <w:rPr>
          <w:lang w:val="hr-HR"/>
        </w:rPr>
        <w:t>a</w:t>
      </w:r>
      <w:r>
        <w:rPr>
          <w:lang w:val="hr-HR"/>
        </w:rPr>
        <w:t xml:space="preserve"> za sve obrazovne nivoe sa ishodima učenja, </w:t>
      </w:r>
      <w:r w:rsidRPr="00AA7669">
        <w:rPr>
          <w:lang w:val="hr-HR"/>
        </w:rPr>
        <w:t xml:space="preserve">Izvještaj o sprovedenoj analizi inicijalnog obrazovanja i kontinuiranog profesionalnog razvoja </w:t>
      </w:r>
      <w:r w:rsidR="00F421DF">
        <w:rPr>
          <w:lang w:val="hr-HR"/>
        </w:rPr>
        <w:t xml:space="preserve">(KPR) </w:t>
      </w:r>
      <w:r w:rsidRPr="00AA7669">
        <w:rPr>
          <w:lang w:val="hr-HR"/>
        </w:rPr>
        <w:t>nastavnika razredne nastave i prirodnih predmeta sa stanovišta ključnih kompetencija</w:t>
      </w:r>
      <w:r w:rsidR="00687A5D">
        <w:rPr>
          <w:lang w:val="hr-HR"/>
        </w:rPr>
        <w:t xml:space="preserve"> </w:t>
      </w:r>
      <w:r w:rsidR="00105E62">
        <w:rPr>
          <w:lang w:val="hr-HR"/>
        </w:rPr>
        <w:t xml:space="preserve"> i zaključci</w:t>
      </w:r>
      <w:r>
        <w:rPr>
          <w:lang w:val="hr-HR"/>
        </w:rPr>
        <w:t xml:space="preserve"> sastanaka </w:t>
      </w:r>
      <w:r w:rsidR="00105E62">
        <w:rPr>
          <w:lang w:val="hr-HR"/>
        </w:rPr>
        <w:t xml:space="preserve">i radionica </w:t>
      </w:r>
      <w:r>
        <w:rPr>
          <w:lang w:val="hr-HR"/>
        </w:rPr>
        <w:t>Projektnog tima</w:t>
      </w:r>
      <w:r w:rsidR="00F421DF">
        <w:rPr>
          <w:lang w:val="hr-HR"/>
        </w:rPr>
        <w:t xml:space="preserve"> i radnih grupa</w:t>
      </w:r>
      <w:r>
        <w:rPr>
          <w:lang w:val="hr-HR"/>
        </w:rPr>
        <w:t xml:space="preserve">. </w:t>
      </w:r>
    </w:p>
    <w:p w14:paraId="20F4CBFD" w14:textId="64246151" w:rsidR="009D132E" w:rsidRDefault="00365C4B" w:rsidP="00B93E9A">
      <w:pPr>
        <w:spacing w:before="100" w:after="100" w:line="360" w:lineRule="auto"/>
        <w:jc w:val="both"/>
        <w:rPr>
          <w:lang w:val="hr-HR"/>
        </w:rPr>
      </w:pPr>
      <w:r w:rsidRPr="00365C4B">
        <w:rPr>
          <w:lang w:val="hr-HR"/>
        </w:rPr>
        <w:t xml:space="preserve">Opis projektnog zadatka dao je ciljne grupe </w:t>
      </w:r>
      <w:r>
        <w:rPr>
          <w:lang w:val="hr-HR"/>
        </w:rPr>
        <w:t xml:space="preserve">i glavne smernice </w:t>
      </w:r>
      <w:r w:rsidRPr="00365C4B">
        <w:rPr>
          <w:lang w:val="hr-HR"/>
        </w:rPr>
        <w:t xml:space="preserve">za </w:t>
      </w:r>
      <w:r>
        <w:rPr>
          <w:lang w:val="hr-HR"/>
        </w:rPr>
        <w:t>obuke</w:t>
      </w:r>
      <w:r w:rsidRPr="00365C4B">
        <w:rPr>
          <w:lang w:val="hr-HR"/>
        </w:rPr>
        <w:t xml:space="preserve"> </w:t>
      </w:r>
      <w:r>
        <w:rPr>
          <w:lang w:val="hr-HR"/>
        </w:rPr>
        <w:t>koje su ovim planom detaljno</w:t>
      </w:r>
      <w:r w:rsidRPr="00365C4B">
        <w:rPr>
          <w:lang w:val="hr-HR"/>
        </w:rPr>
        <w:t xml:space="preserve"> razrađane sa predlogom sadržaja, ishoda i oblika izgradnje kapaciteta.</w:t>
      </w:r>
      <w:r w:rsidR="00F421DF">
        <w:rPr>
          <w:lang w:val="hr-HR"/>
        </w:rPr>
        <w:t xml:space="preserve"> </w:t>
      </w:r>
      <w:r>
        <w:rPr>
          <w:lang w:val="hr-HR"/>
        </w:rPr>
        <w:t xml:space="preserve">U daljoj razradi, predlaže se </w:t>
      </w:r>
      <w:r w:rsidR="00105E62">
        <w:rPr>
          <w:lang w:val="hr-HR"/>
        </w:rPr>
        <w:t xml:space="preserve">jačanje resursa </w:t>
      </w:r>
      <w:r w:rsidRPr="00365C4B">
        <w:rPr>
          <w:lang w:val="hr-HR"/>
        </w:rPr>
        <w:t xml:space="preserve">svih prepoznatih učesnika </w:t>
      </w:r>
      <w:r w:rsidR="000A435D">
        <w:rPr>
          <w:lang w:val="hr-HR"/>
        </w:rPr>
        <w:t>da</w:t>
      </w:r>
      <w:r>
        <w:rPr>
          <w:lang w:val="hr-HR"/>
        </w:rPr>
        <w:t xml:space="preserve">tih opisom zadatka </w:t>
      </w:r>
      <w:r w:rsidRPr="00365C4B">
        <w:rPr>
          <w:lang w:val="hr-HR"/>
        </w:rPr>
        <w:t xml:space="preserve">– od kreatora politika odnosno predstavnika institucija, neposrednih realizatora učenja i nastave - nastavnika, onih koji upravljaju školom </w:t>
      </w:r>
      <w:r w:rsidR="00105E62">
        <w:rPr>
          <w:lang w:val="hr-HR"/>
        </w:rPr>
        <w:t>–</w:t>
      </w:r>
      <w:r w:rsidRPr="00365C4B">
        <w:rPr>
          <w:lang w:val="hr-HR"/>
        </w:rPr>
        <w:t xml:space="preserve"> direktora</w:t>
      </w:r>
      <w:r w:rsidR="00105E62">
        <w:rPr>
          <w:lang w:val="hr-HR"/>
        </w:rPr>
        <w:t>, njihovih pomoćnika i školskih timova</w:t>
      </w:r>
      <w:r w:rsidRPr="00365C4B">
        <w:rPr>
          <w:lang w:val="hr-HR"/>
        </w:rPr>
        <w:t>, i onih koji prate, savetuju i vrednuju kvalitet rada škole-prosvetnih nadzornika i savetnika.</w:t>
      </w:r>
    </w:p>
    <w:p w14:paraId="7827DC88" w14:textId="77777777" w:rsidR="002235AE" w:rsidRDefault="009D132E" w:rsidP="00B93E9A">
      <w:pPr>
        <w:spacing w:before="100" w:after="100" w:line="360" w:lineRule="auto"/>
        <w:jc w:val="both"/>
        <w:rPr>
          <w:lang w:val="hr-HR"/>
        </w:rPr>
      </w:pPr>
      <w:r w:rsidRPr="009D132E">
        <w:rPr>
          <w:lang w:val="hr-HR"/>
        </w:rPr>
        <w:t xml:space="preserve"> </w:t>
      </w:r>
    </w:p>
    <w:p w14:paraId="5E2731B8" w14:textId="7273643D" w:rsidR="007177CA" w:rsidRPr="00472A79" w:rsidRDefault="00472A79" w:rsidP="00B93E9A">
      <w:pPr>
        <w:spacing w:before="100" w:after="100" w:line="360" w:lineRule="auto"/>
        <w:rPr>
          <w:b/>
          <w:color w:val="800000"/>
          <w:sz w:val="24"/>
          <w:lang w:val="hr-HR"/>
        </w:rPr>
      </w:pPr>
      <w:r w:rsidRPr="00472A79">
        <w:rPr>
          <w:b/>
          <w:color w:val="800000"/>
          <w:sz w:val="24"/>
          <w:lang w:val="hr-HR"/>
        </w:rPr>
        <w:t xml:space="preserve">Ciljne grupe </w:t>
      </w:r>
      <w:r w:rsidR="00AA577C">
        <w:rPr>
          <w:b/>
          <w:color w:val="800000"/>
          <w:sz w:val="24"/>
          <w:lang w:val="hr-HR"/>
        </w:rPr>
        <w:t>i ciljevi izgradnje kapaciteta</w:t>
      </w:r>
    </w:p>
    <w:p w14:paraId="3C0D9698" w14:textId="1CCFB318" w:rsidR="00AA577C" w:rsidRDefault="00AA577C" w:rsidP="00B93E9A">
      <w:pPr>
        <w:spacing w:before="100" w:after="100" w:line="360" w:lineRule="auto"/>
        <w:rPr>
          <w:lang w:val="hr-HR"/>
        </w:rPr>
      </w:pPr>
      <w:r>
        <w:rPr>
          <w:lang w:val="hr-HR"/>
        </w:rPr>
        <w:t>Ciljne grupe izgradnje kapaciteta u okviru projekta su sve zainteresovane strane, odnosno</w:t>
      </w:r>
      <w:r w:rsidR="00F409DE">
        <w:rPr>
          <w:lang w:val="hr-HR"/>
        </w:rPr>
        <w:t xml:space="preserve"> institucije</w:t>
      </w:r>
      <w:r>
        <w:rPr>
          <w:lang w:val="hr-HR"/>
        </w:rPr>
        <w:t xml:space="preserve"> korisnice projektne pomoći i partneri u relizaciji. </w:t>
      </w:r>
    </w:p>
    <w:p w14:paraId="402513FB" w14:textId="57FCA755" w:rsidR="00AA577C" w:rsidRDefault="00AA577C" w:rsidP="00B93E9A">
      <w:pPr>
        <w:spacing w:before="100" w:after="100" w:line="360" w:lineRule="auto"/>
        <w:rPr>
          <w:lang w:val="hr-HR"/>
        </w:rPr>
      </w:pPr>
      <w:r>
        <w:rPr>
          <w:lang w:val="hr-HR"/>
        </w:rPr>
        <w:t xml:space="preserve">Sveobuhvatnii cilj izgradnje kapaciteta navedenih grupa  je </w:t>
      </w:r>
      <w:r w:rsidRPr="00692DE8">
        <w:rPr>
          <w:lang w:val="hr-HR"/>
        </w:rPr>
        <w:t>integracija ključn</w:t>
      </w:r>
      <w:r>
        <w:rPr>
          <w:lang w:val="hr-HR"/>
        </w:rPr>
        <w:t xml:space="preserve">ih kompetencija </w:t>
      </w:r>
      <w:r w:rsidRPr="00F464BE">
        <w:rPr>
          <w:lang w:val="hr-HR"/>
        </w:rPr>
        <w:t>u obrazovni sistem Crne Gore</w:t>
      </w:r>
      <w:r>
        <w:rPr>
          <w:lang w:val="hr-HR"/>
        </w:rPr>
        <w:t xml:space="preserve"> saobrazano </w:t>
      </w:r>
      <w:r w:rsidRPr="00692DE8">
        <w:rPr>
          <w:lang w:val="hr-HR"/>
        </w:rPr>
        <w:t xml:space="preserve">njihovim </w:t>
      </w:r>
      <w:r w:rsidR="00402FC8">
        <w:rPr>
          <w:lang w:val="hr-HR"/>
        </w:rPr>
        <w:t xml:space="preserve">pojedinačnim </w:t>
      </w:r>
      <w:r w:rsidRPr="00692DE8">
        <w:rPr>
          <w:lang w:val="hr-HR"/>
        </w:rPr>
        <w:t>profesionalnim ulogama u sistemu</w:t>
      </w:r>
      <w:r>
        <w:rPr>
          <w:lang w:val="hr-HR"/>
        </w:rPr>
        <w:t xml:space="preserve">. </w:t>
      </w:r>
    </w:p>
    <w:p w14:paraId="37FEE8C0" w14:textId="5E3306DD" w:rsidR="00AA577C" w:rsidRDefault="004766BC" w:rsidP="00B93E9A">
      <w:pPr>
        <w:spacing w:before="100" w:after="100" w:line="360" w:lineRule="auto"/>
        <w:rPr>
          <w:lang w:val="hr-HR"/>
        </w:rPr>
      </w:pPr>
      <w:r>
        <w:rPr>
          <w:lang w:val="hr-HR"/>
        </w:rPr>
        <w:t xml:space="preserve">Ciljne grupe, očekivani ishodi </w:t>
      </w:r>
      <w:r w:rsidR="00D36368">
        <w:rPr>
          <w:lang w:val="hr-HR"/>
        </w:rPr>
        <w:t>razvoja</w:t>
      </w:r>
      <w:r>
        <w:rPr>
          <w:lang w:val="hr-HR"/>
        </w:rPr>
        <w:t xml:space="preserve"> kapaciteta i oblici rada su prikazani tabelarno</w:t>
      </w:r>
      <w:r w:rsidR="00AA577C">
        <w:rPr>
          <w:lang w:val="hr-HR"/>
        </w:rPr>
        <w:t>:</w:t>
      </w:r>
    </w:p>
    <w:p w14:paraId="1D4E9525" w14:textId="77777777" w:rsidR="00EA2E64" w:rsidRDefault="00EA2E64" w:rsidP="009068C2">
      <w:pPr>
        <w:spacing w:before="100" w:after="100" w:line="276" w:lineRule="auto"/>
        <w:rPr>
          <w:lang w:val="hr-HR"/>
        </w:rPr>
      </w:pP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998"/>
        <w:gridCol w:w="2998"/>
        <w:gridCol w:w="2999"/>
      </w:tblGrid>
      <w:tr w:rsidR="00BD13AB" w14:paraId="3EEEFFF8" w14:textId="0C04919F" w:rsidTr="00F873DE">
        <w:tc>
          <w:tcPr>
            <w:tcW w:w="2998" w:type="dxa"/>
          </w:tcPr>
          <w:p w14:paraId="43354A1A" w14:textId="71DE98D8" w:rsidR="00BD13AB" w:rsidRPr="004766BC" w:rsidRDefault="00BD13AB" w:rsidP="003F6584">
            <w:pPr>
              <w:pStyle w:val="ListParagraph"/>
              <w:spacing w:before="100" w:after="100" w:line="360" w:lineRule="auto"/>
              <w:ind w:left="720"/>
              <w:rPr>
                <w:b/>
                <w:lang w:val="hr-HR"/>
              </w:rPr>
            </w:pPr>
            <w:r w:rsidRPr="004766BC">
              <w:rPr>
                <w:b/>
                <w:lang w:val="hr-HR"/>
              </w:rPr>
              <w:t>Ciljna grupa</w:t>
            </w:r>
          </w:p>
        </w:tc>
        <w:tc>
          <w:tcPr>
            <w:tcW w:w="2998" w:type="dxa"/>
          </w:tcPr>
          <w:p w14:paraId="6E68A0D5" w14:textId="3275EA12" w:rsidR="00BD13AB" w:rsidRPr="004766BC" w:rsidRDefault="000A435D" w:rsidP="003F6584">
            <w:pPr>
              <w:spacing w:before="100" w:after="100" w:line="360" w:lineRule="auto"/>
              <w:rPr>
                <w:b/>
                <w:lang w:val="hr-HR"/>
              </w:rPr>
            </w:pPr>
            <w:r w:rsidRPr="004766BC">
              <w:rPr>
                <w:b/>
                <w:lang w:val="hr-HR"/>
              </w:rPr>
              <w:t>Oblici rada</w:t>
            </w:r>
            <w:r>
              <w:rPr>
                <w:b/>
                <w:lang w:val="hr-HR"/>
              </w:rPr>
              <w:t>/razvoja kapaciteta</w:t>
            </w:r>
          </w:p>
        </w:tc>
        <w:tc>
          <w:tcPr>
            <w:tcW w:w="2999" w:type="dxa"/>
          </w:tcPr>
          <w:p w14:paraId="2653482C" w14:textId="6DC9B4FA" w:rsidR="00BD13AB" w:rsidRPr="004766BC" w:rsidRDefault="000A435D" w:rsidP="00D36368">
            <w:pPr>
              <w:spacing w:before="100" w:after="100" w:line="360" w:lineRule="auto"/>
              <w:rPr>
                <w:b/>
                <w:lang w:val="hr-HR"/>
              </w:rPr>
            </w:pPr>
            <w:r w:rsidRPr="004766BC">
              <w:rPr>
                <w:b/>
                <w:lang w:val="hr-HR"/>
              </w:rPr>
              <w:t xml:space="preserve">Ishodi </w:t>
            </w:r>
            <w:r w:rsidR="00D36368">
              <w:rPr>
                <w:b/>
                <w:lang w:val="hr-HR"/>
              </w:rPr>
              <w:t>razvoja</w:t>
            </w:r>
            <w:r w:rsidRPr="004766BC">
              <w:rPr>
                <w:b/>
                <w:lang w:val="hr-HR"/>
              </w:rPr>
              <w:t xml:space="preserve"> kapaciteta</w:t>
            </w:r>
          </w:p>
        </w:tc>
      </w:tr>
      <w:tr w:rsidR="00BD13AB" w14:paraId="191FD7C4" w14:textId="6404776E" w:rsidTr="00F873DE">
        <w:tc>
          <w:tcPr>
            <w:tcW w:w="2998" w:type="dxa"/>
          </w:tcPr>
          <w:p w14:paraId="39822ECD" w14:textId="77777777" w:rsidR="00BD13AB" w:rsidRDefault="00BD13AB" w:rsidP="00D36368">
            <w:pPr>
              <w:pStyle w:val="ListParagraph"/>
              <w:numPr>
                <w:ilvl w:val="0"/>
                <w:numId w:val="13"/>
              </w:numPr>
              <w:spacing w:before="100" w:after="100" w:line="276" w:lineRule="auto"/>
              <w:ind w:left="360"/>
              <w:rPr>
                <w:lang w:val="hr-HR"/>
              </w:rPr>
            </w:pPr>
            <w:r w:rsidRPr="00F464BE">
              <w:rPr>
                <w:lang w:val="hr-HR"/>
              </w:rPr>
              <w:t>Predstavnici institucija korisnica koji čine sastav Radnih grupa i Projektnog tima</w:t>
            </w:r>
          </w:p>
          <w:p w14:paraId="524A43AA" w14:textId="77777777" w:rsidR="00BD13AB" w:rsidRPr="00651AF9" w:rsidRDefault="00BD13AB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 w:rsidRPr="00651AF9">
              <w:rPr>
                <w:lang w:val="hr-HR"/>
              </w:rPr>
              <w:lastRenderedPageBreak/>
              <w:t>M</w:t>
            </w:r>
            <w:r>
              <w:rPr>
                <w:lang w:val="hr-HR"/>
              </w:rPr>
              <w:t>inistarstvo prosvjete Crne Gore</w:t>
            </w:r>
          </w:p>
          <w:p w14:paraId="0612BEC2" w14:textId="77777777" w:rsidR="00BD13AB" w:rsidRPr="00651AF9" w:rsidRDefault="00BD13AB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>
              <w:rPr>
                <w:lang w:val="hr-HR"/>
              </w:rPr>
              <w:t>Zavod za školstvo Crne Gore</w:t>
            </w:r>
          </w:p>
          <w:p w14:paraId="182CBE78" w14:textId="77777777" w:rsidR="00BD13AB" w:rsidRPr="00651AF9" w:rsidRDefault="00BD13AB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 w:rsidRPr="00651AF9">
              <w:rPr>
                <w:lang w:val="hr-HR"/>
              </w:rPr>
              <w:t>Centar z</w:t>
            </w:r>
            <w:r>
              <w:rPr>
                <w:lang w:val="hr-HR"/>
              </w:rPr>
              <w:t>a stručno obrazovanje Crne Gore</w:t>
            </w:r>
          </w:p>
          <w:p w14:paraId="0793B898" w14:textId="77777777" w:rsidR="00BD13AB" w:rsidRPr="00651AF9" w:rsidRDefault="00BD13AB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>
              <w:rPr>
                <w:lang w:val="hr-HR"/>
              </w:rPr>
              <w:t>Ispitni centar Crne Gore</w:t>
            </w:r>
          </w:p>
          <w:p w14:paraId="491D5F22" w14:textId="77777777" w:rsidR="00BD13AB" w:rsidRDefault="00BD13AB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 w:rsidRPr="00651AF9">
              <w:rPr>
                <w:lang w:val="hr-HR"/>
              </w:rPr>
              <w:t>Filozofski fakultet, Filološki fakultet i Prirodno-matematički fakultet Univerziteta Crne Gore</w:t>
            </w:r>
          </w:p>
          <w:p w14:paraId="6BE4404E" w14:textId="77777777" w:rsidR="003B0B93" w:rsidRDefault="003B0B93" w:rsidP="00D36368">
            <w:pPr>
              <w:pStyle w:val="ListParagraph"/>
              <w:spacing w:before="100" w:after="100" w:line="276" w:lineRule="auto"/>
              <w:ind w:left="720"/>
              <w:rPr>
                <w:lang w:val="hr-HR"/>
              </w:rPr>
            </w:pPr>
          </w:p>
          <w:p w14:paraId="70A177E6" w14:textId="09FA8C47" w:rsidR="000A435D" w:rsidRPr="00F464BE" w:rsidRDefault="000A435D" w:rsidP="00D36368">
            <w:pPr>
              <w:pStyle w:val="ListParagraph"/>
              <w:numPr>
                <w:ilvl w:val="2"/>
                <w:numId w:val="14"/>
              </w:numPr>
              <w:spacing w:before="100" w:after="100" w:line="276" w:lineRule="auto"/>
              <w:ind w:left="720"/>
              <w:rPr>
                <w:lang w:val="hr-HR"/>
              </w:rPr>
            </w:pPr>
            <w:r>
              <w:rPr>
                <w:lang w:val="hr-HR"/>
              </w:rPr>
              <w:t>Osnovne i sre</w:t>
            </w:r>
            <w:r w:rsidR="003B0B93">
              <w:rPr>
                <w:lang w:val="hr-HR"/>
              </w:rPr>
              <w:t>d</w:t>
            </w:r>
            <w:r>
              <w:rPr>
                <w:lang w:val="hr-HR"/>
              </w:rPr>
              <w:t>nje škole</w:t>
            </w:r>
          </w:p>
          <w:p w14:paraId="053BA866" w14:textId="77777777" w:rsidR="00BD13AB" w:rsidRDefault="00BD13AB" w:rsidP="00D36368">
            <w:pPr>
              <w:spacing w:before="100" w:after="100" w:line="276" w:lineRule="auto"/>
              <w:rPr>
                <w:lang w:val="hr-HR"/>
              </w:rPr>
            </w:pPr>
          </w:p>
        </w:tc>
        <w:tc>
          <w:tcPr>
            <w:tcW w:w="2998" w:type="dxa"/>
          </w:tcPr>
          <w:p w14:paraId="7ECCC0EB" w14:textId="111E7861" w:rsidR="000A435D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lastRenderedPageBreak/>
              <w:t>S</w:t>
            </w:r>
            <w:r w:rsidR="000A435D">
              <w:rPr>
                <w:lang w:val="hr-HR"/>
              </w:rPr>
              <w:t>astanci</w:t>
            </w:r>
          </w:p>
          <w:p w14:paraId="37F7AA25" w14:textId="78FA454F" w:rsidR="009068C2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Radionice</w:t>
            </w:r>
          </w:p>
          <w:p w14:paraId="208F4C59" w14:textId="5F9B3864" w:rsidR="000A435D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S</w:t>
            </w:r>
            <w:r w:rsidR="000A435D">
              <w:rPr>
                <w:lang w:val="hr-HR"/>
              </w:rPr>
              <w:t>avetovanja</w:t>
            </w:r>
          </w:p>
          <w:p w14:paraId="658D90A3" w14:textId="08198E90" w:rsidR="000A435D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lastRenderedPageBreak/>
              <w:t>F</w:t>
            </w:r>
            <w:r w:rsidR="000A435D">
              <w:rPr>
                <w:lang w:val="hr-HR"/>
              </w:rPr>
              <w:t>okus grupe</w:t>
            </w:r>
          </w:p>
          <w:p w14:paraId="5CB7FADD" w14:textId="02F2A76E" w:rsidR="008A0BF8" w:rsidRDefault="000A435D" w:rsidP="00D36368">
            <w:pPr>
              <w:spacing w:before="100" w:after="100" w:line="276" w:lineRule="auto"/>
              <w:rPr>
                <w:lang w:val="hr-HR"/>
              </w:rPr>
            </w:pPr>
            <w:r w:rsidRPr="009068C2">
              <w:rPr>
                <w:color w:val="A6A6A6" w:themeColor="background1" w:themeShade="A6"/>
                <w:lang w:val="hr-HR"/>
              </w:rPr>
              <w:t>studijska poseta</w:t>
            </w:r>
          </w:p>
        </w:tc>
        <w:tc>
          <w:tcPr>
            <w:tcW w:w="2999" w:type="dxa"/>
          </w:tcPr>
          <w:p w14:paraId="3FDE4834" w14:textId="77777777" w:rsidR="000A435D" w:rsidRPr="000A435D" w:rsidRDefault="000A435D" w:rsidP="00D36368">
            <w:pPr>
              <w:spacing w:before="100" w:after="100" w:line="276" w:lineRule="auto"/>
              <w:rPr>
                <w:lang w:val="hr-HR"/>
              </w:rPr>
            </w:pPr>
            <w:r w:rsidRPr="000A435D">
              <w:rPr>
                <w:lang w:val="hr-HR"/>
              </w:rPr>
              <w:lastRenderedPageBreak/>
              <w:t>Usaglašeni i odobreni strateški dokumenti projekta</w:t>
            </w:r>
          </w:p>
          <w:p w14:paraId="4D84C370" w14:textId="524A25FF" w:rsidR="000A435D" w:rsidRPr="000A435D" w:rsidRDefault="000A435D" w:rsidP="00D36368">
            <w:pPr>
              <w:spacing w:before="100" w:after="100" w:line="276" w:lineRule="auto"/>
              <w:rPr>
                <w:lang w:val="hr-HR"/>
              </w:rPr>
            </w:pPr>
            <w:r w:rsidRPr="000A435D">
              <w:rPr>
                <w:lang w:val="hr-HR"/>
              </w:rPr>
              <w:t>Crnogorski program</w:t>
            </w:r>
            <w:r>
              <w:rPr>
                <w:lang w:val="hr-HR"/>
              </w:rPr>
              <w:t xml:space="preserve"> ključnih kompetencija </w:t>
            </w:r>
          </w:p>
          <w:p w14:paraId="3AA91042" w14:textId="77777777" w:rsidR="000A435D" w:rsidRPr="000A435D" w:rsidRDefault="000A435D" w:rsidP="00D36368">
            <w:pPr>
              <w:spacing w:before="100" w:after="100" w:line="276" w:lineRule="auto"/>
              <w:rPr>
                <w:lang w:val="hr-HR"/>
              </w:rPr>
            </w:pPr>
            <w:r w:rsidRPr="000A435D">
              <w:rPr>
                <w:lang w:val="hr-HR"/>
              </w:rPr>
              <w:lastRenderedPageBreak/>
              <w:t>Akreditacija obuka za integraciju ključnih kompetencija u nastavu i učenje</w:t>
            </w:r>
          </w:p>
          <w:p w14:paraId="2E83D93D" w14:textId="525E9769" w:rsidR="00BD13AB" w:rsidRDefault="000A435D" w:rsidP="00D36368">
            <w:pPr>
              <w:spacing w:before="100" w:after="100" w:line="276" w:lineRule="auto"/>
              <w:rPr>
                <w:lang w:val="hr-HR"/>
              </w:rPr>
            </w:pPr>
            <w:r w:rsidRPr="000A435D">
              <w:rPr>
                <w:lang w:val="hr-HR"/>
              </w:rPr>
              <w:t>Inovira</w:t>
            </w:r>
            <w:r w:rsidR="006D135A">
              <w:rPr>
                <w:lang w:val="hr-HR"/>
              </w:rPr>
              <w:t>ni univerzitetski</w:t>
            </w:r>
            <w:r w:rsidRPr="000A435D">
              <w:rPr>
                <w:lang w:val="hr-HR"/>
              </w:rPr>
              <w:t xml:space="preserve"> programa veštinama i znanjem o razvoju ključnih kompetencija</w:t>
            </w:r>
          </w:p>
          <w:p w14:paraId="1A66A0B0" w14:textId="48C4DFB6" w:rsidR="003B0B93" w:rsidRDefault="005D48E6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K</w:t>
            </w:r>
            <w:r w:rsidRPr="000A435D">
              <w:rPr>
                <w:lang w:val="hr-HR"/>
              </w:rPr>
              <w:t>ljučn</w:t>
            </w:r>
            <w:r>
              <w:rPr>
                <w:lang w:val="hr-HR"/>
              </w:rPr>
              <w:t>e</w:t>
            </w:r>
            <w:r w:rsidRPr="000A435D">
              <w:rPr>
                <w:lang w:val="hr-HR"/>
              </w:rPr>
              <w:t xml:space="preserve"> kompetencij</w:t>
            </w:r>
            <w:r>
              <w:rPr>
                <w:lang w:val="hr-HR"/>
              </w:rPr>
              <w:t xml:space="preserve">e </w:t>
            </w:r>
            <w:r w:rsidRPr="000A435D">
              <w:rPr>
                <w:lang w:val="hr-HR"/>
              </w:rPr>
              <w:t xml:space="preserve"> </w:t>
            </w:r>
            <w:r>
              <w:rPr>
                <w:lang w:val="hr-HR"/>
              </w:rPr>
              <w:t>integrisane</w:t>
            </w:r>
            <w:r w:rsidRPr="000A435D">
              <w:rPr>
                <w:lang w:val="hr-HR"/>
              </w:rPr>
              <w:t xml:space="preserve"> u </w:t>
            </w:r>
            <w:r>
              <w:rPr>
                <w:lang w:val="hr-HR"/>
              </w:rPr>
              <w:t xml:space="preserve">redovnu </w:t>
            </w:r>
            <w:r w:rsidRPr="000A435D">
              <w:rPr>
                <w:lang w:val="hr-HR"/>
              </w:rPr>
              <w:t>nastavu, učenje i vannastavne aktivnosti</w:t>
            </w:r>
          </w:p>
        </w:tc>
      </w:tr>
      <w:tr w:rsidR="00BD13AB" w14:paraId="1A563335" w14:textId="6E2F3EBA" w:rsidTr="00F873DE">
        <w:tc>
          <w:tcPr>
            <w:tcW w:w="2998" w:type="dxa"/>
          </w:tcPr>
          <w:p w14:paraId="12C0EF1E" w14:textId="33471200" w:rsidR="00BD13AB" w:rsidRPr="00F464BE" w:rsidRDefault="00BD13AB" w:rsidP="00D36368">
            <w:pPr>
              <w:pStyle w:val="ListParagraph"/>
              <w:numPr>
                <w:ilvl w:val="0"/>
                <w:numId w:val="13"/>
              </w:numPr>
              <w:spacing w:before="100" w:after="100" w:line="276" w:lineRule="auto"/>
              <w:ind w:left="426" w:hanging="284"/>
              <w:rPr>
                <w:lang w:val="hr-HR"/>
              </w:rPr>
            </w:pPr>
            <w:r w:rsidRPr="00F464BE">
              <w:rPr>
                <w:lang w:val="hr-HR"/>
              </w:rPr>
              <w:lastRenderedPageBreak/>
              <w:t>Nastavnici razredne nastave (900)</w:t>
            </w:r>
          </w:p>
          <w:p w14:paraId="75A527C2" w14:textId="77777777" w:rsidR="00BD13AB" w:rsidRDefault="00BD13AB" w:rsidP="00D36368">
            <w:pPr>
              <w:spacing w:before="100" w:after="100" w:line="276" w:lineRule="auto"/>
              <w:ind w:left="426" w:hanging="284"/>
              <w:rPr>
                <w:lang w:val="hr-HR"/>
              </w:rPr>
            </w:pPr>
          </w:p>
        </w:tc>
        <w:tc>
          <w:tcPr>
            <w:tcW w:w="2998" w:type="dxa"/>
          </w:tcPr>
          <w:p w14:paraId="6DBC8FA3" w14:textId="77777777" w:rsidR="009068C2" w:rsidRDefault="009068C2" w:rsidP="009068C2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Fokus grupe</w:t>
            </w:r>
          </w:p>
          <w:p w14:paraId="02D60DC4" w14:textId="4ABB4C29" w:rsidR="009068C2" w:rsidRDefault="009068C2" w:rsidP="009068C2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Obuka</w:t>
            </w:r>
          </w:p>
          <w:p w14:paraId="5BF32819" w14:textId="6872F80C" w:rsidR="00BD13AB" w:rsidRDefault="009068C2" w:rsidP="009068C2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K</w:t>
            </w:r>
            <w:r w:rsidRPr="009068C2">
              <w:rPr>
                <w:lang w:val="hr-HR"/>
              </w:rPr>
              <w:t>olegijalno učenje u okviru nastavnih veća</w:t>
            </w:r>
            <w:r>
              <w:rPr>
                <w:lang w:val="hr-HR"/>
              </w:rPr>
              <w:t xml:space="preserve"> </w:t>
            </w:r>
            <w:r w:rsidRPr="009068C2">
              <w:rPr>
                <w:lang w:val="hr-HR"/>
              </w:rPr>
              <w:t>(Perr learning)</w:t>
            </w:r>
          </w:p>
        </w:tc>
        <w:tc>
          <w:tcPr>
            <w:tcW w:w="2999" w:type="dxa"/>
          </w:tcPr>
          <w:p w14:paraId="258647A7" w14:textId="2D659567" w:rsidR="00BD13AB" w:rsidRDefault="00D36368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Nastavne pripreme koje pored predmetnih ishoda uključuju i ishode ključnih kompetencija Crnogorskog okvira </w:t>
            </w:r>
          </w:p>
        </w:tc>
      </w:tr>
      <w:tr w:rsidR="00BD13AB" w14:paraId="7AD4B1C2" w14:textId="2B77A2AB" w:rsidTr="00F873DE">
        <w:tc>
          <w:tcPr>
            <w:tcW w:w="2998" w:type="dxa"/>
          </w:tcPr>
          <w:p w14:paraId="77F72FD9" w14:textId="75DF3F25" w:rsidR="00BD13AB" w:rsidRDefault="00BD13AB" w:rsidP="00D36368">
            <w:pPr>
              <w:pStyle w:val="ListParagraph"/>
              <w:numPr>
                <w:ilvl w:val="0"/>
                <w:numId w:val="13"/>
              </w:numPr>
              <w:spacing w:before="100" w:after="100" w:line="276" w:lineRule="auto"/>
              <w:ind w:left="426" w:hanging="284"/>
              <w:rPr>
                <w:lang w:val="hr-HR"/>
              </w:rPr>
            </w:pPr>
            <w:r w:rsidRPr="00F464BE">
              <w:rPr>
                <w:lang w:val="hr-HR"/>
              </w:rPr>
              <w:t>Nastavnici STEM/MINT predmetne nastave u osnovnom i srednjem obrazovanju (960)</w:t>
            </w:r>
          </w:p>
        </w:tc>
        <w:tc>
          <w:tcPr>
            <w:tcW w:w="2998" w:type="dxa"/>
          </w:tcPr>
          <w:p w14:paraId="0D0C2743" w14:textId="77777777" w:rsidR="009068C2" w:rsidRPr="009068C2" w:rsidRDefault="009068C2" w:rsidP="009068C2">
            <w:pPr>
              <w:spacing w:before="100" w:after="100" w:line="276" w:lineRule="auto"/>
              <w:rPr>
                <w:lang w:val="hr-HR"/>
              </w:rPr>
            </w:pPr>
            <w:r w:rsidRPr="009068C2">
              <w:rPr>
                <w:lang w:val="hr-HR"/>
              </w:rPr>
              <w:t>Fokus grupe</w:t>
            </w:r>
          </w:p>
          <w:p w14:paraId="264AFA5A" w14:textId="77777777" w:rsidR="009068C2" w:rsidRPr="009068C2" w:rsidRDefault="009068C2" w:rsidP="009068C2">
            <w:pPr>
              <w:spacing w:before="100" w:after="100" w:line="276" w:lineRule="auto"/>
              <w:rPr>
                <w:lang w:val="hr-HR"/>
              </w:rPr>
            </w:pPr>
            <w:r w:rsidRPr="009068C2">
              <w:rPr>
                <w:lang w:val="hr-HR"/>
              </w:rPr>
              <w:t>Obuka</w:t>
            </w:r>
          </w:p>
          <w:p w14:paraId="60F38F7E" w14:textId="25730D56" w:rsidR="00BD13AB" w:rsidRDefault="009068C2" w:rsidP="009068C2">
            <w:pPr>
              <w:spacing w:before="100" w:after="100" w:line="276" w:lineRule="auto"/>
              <w:rPr>
                <w:lang w:val="hr-HR"/>
              </w:rPr>
            </w:pPr>
            <w:r w:rsidRPr="009068C2">
              <w:rPr>
                <w:lang w:val="hr-HR"/>
              </w:rPr>
              <w:t>Kolegijalno učenje u okviru nastavnih veća (Perr learning)</w:t>
            </w:r>
          </w:p>
        </w:tc>
        <w:tc>
          <w:tcPr>
            <w:tcW w:w="2999" w:type="dxa"/>
          </w:tcPr>
          <w:p w14:paraId="27A83B29" w14:textId="4A221B8E" w:rsidR="00BD13AB" w:rsidRDefault="00D36368" w:rsidP="00D36368">
            <w:pPr>
              <w:spacing w:before="100" w:after="100" w:line="276" w:lineRule="auto"/>
              <w:rPr>
                <w:lang w:val="hr-HR"/>
              </w:rPr>
            </w:pPr>
            <w:r w:rsidRPr="00D36368">
              <w:rPr>
                <w:lang w:val="hr-HR"/>
              </w:rPr>
              <w:t>Nastavne pripreme koje pored predmetnih ishoda uključuju i ishode ključnih kompetencija Crnogorskog okvira</w:t>
            </w:r>
          </w:p>
        </w:tc>
      </w:tr>
      <w:tr w:rsidR="00BD13AB" w14:paraId="36AB752F" w14:textId="7BF260D8" w:rsidTr="00F873DE">
        <w:tc>
          <w:tcPr>
            <w:tcW w:w="2998" w:type="dxa"/>
          </w:tcPr>
          <w:p w14:paraId="4CB44946" w14:textId="287309F2" w:rsidR="00BD13AB" w:rsidRPr="00AA577C" w:rsidRDefault="00BD13AB" w:rsidP="00D36368">
            <w:pPr>
              <w:pStyle w:val="ListParagraph"/>
              <w:numPr>
                <w:ilvl w:val="0"/>
                <w:numId w:val="16"/>
              </w:numPr>
              <w:spacing w:before="100" w:after="100" w:line="276" w:lineRule="auto"/>
              <w:ind w:left="426" w:hanging="284"/>
              <w:rPr>
                <w:lang w:val="hr-HR"/>
              </w:rPr>
            </w:pPr>
            <w:r w:rsidRPr="00AA577C">
              <w:rPr>
                <w:lang w:val="hr-HR"/>
              </w:rPr>
              <w:t>Direktori škola</w:t>
            </w:r>
            <w:r w:rsidR="00D36368">
              <w:rPr>
                <w:lang w:val="hr-HR"/>
              </w:rPr>
              <w:t xml:space="preserve"> (sa pomoćnicicima, pedagozima, </w:t>
            </w:r>
          </w:p>
        </w:tc>
        <w:tc>
          <w:tcPr>
            <w:tcW w:w="2998" w:type="dxa"/>
          </w:tcPr>
          <w:p w14:paraId="30CD54AC" w14:textId="77777777" w:rsidR="009068C2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Obuka</w:t>
            </w:r>
          </w:p>
          <w:p w14:paraId="3B6BEE8D" w14:textId="3C2A948F" w:rsidR="00BD13AB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S</w:t>
            </w:r>
            <w:r w:rsidR="00FF5FC0">
              <w:rPr>
                <w:lang w:val="hr-HR"/>
              </w:rPr>
              <w:t>avetovanje</w:t>
            </w:r>
          </w:p>
        </w:tc>
        <w:tc>
          <w:tcPr>
            <w:tcW w:w="2999" w:type="dxa"/>
          </w:tcPr>
          <w:p w14:paraId="31FBD0E2" w14:textId="711B1B6A" w:rsidR="009068C2" w:rsidRDefault="00D36368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Akcijski plan </w:t>
            </w:r>
            <w:r w:rsidR="009068C2">
              <w:rPr>
                <w:lang w:val="hr-HR"/>
              </w:rPr>
              <w:t>koji strateški pozicionira razvoj ključnih kompetencija kao deo Godišnjeg plana škole</w:t>
            </w:r>
          </w:p>
          <w:p w14:paraId="1C7A2D37" w14:textId="74387E7E" w:rsidR="00BD13AB" w:rsidRDefault="00BD13AB" w:rsidP="009068C2">
            <w:pPr>
              <w:spacing w:before="100" w:after="100" w:line="276" w:lineRule="auto"/>
              <w:rPr>
                <w:lang w:val="hr-HR"/>
              </w:rPr>
            </w:pPr>
          </w:p>
        </w:tc>
      </w:tr>
      <w:tr w:rsidR="00BD13AB" w14:paraId="7D702C10" w14:textId="16255C4B" w:rsidTr="00F873DE">
        <w:tc>
          <w:tcPr>
            <w:tcW w:w="2998" w:type="dxa"/>
          </w:tcPr>
          <w:p w14:paraId="20FD6086" w14:textId="2489337D" w:rsidR="00BD13AB" w:rsidRPr="00F464BE" w:rsidRDefault="00BD13AB" w:rsidP="00D36368">
            <w:pPr>
              <w:pStyle w:val="ListParagraph"/>
              <w:numPr>
                <w:ilvl w:val="0"/>
                <w:numId w:val="13"/>
              </w:numPr>
              <w:spacing w:before="100" w:after="100" w:line="276" w:lineRule="auto"/>
              <w:ind w:left="426" w:hanging="284"/>
              <w:rPr>
                <w:lang w:val="hr-HR"/>
              </w:rPr>
            </w:pPr>
            <w:r w:rsidRPr="00F464BE">
              <w:rPr>
                <w:lang w:val="hr-HR"/>
              </w:rPr>
              <w:t xml:space="preserve">Prosvetni nadzornici/inspektori </w:t>
            </w:r>
          </w:p>
          <w:p w14:paraId="6ABB5D5E" w14:textId="77777777" w:rsidR="00BD13AB" w:rsidRDefault="00BD13AB" w:rsidP="00D36368">
            <w:pPr>
              <w:spacing w:before="100" w:after="100" w:line="276" w:lineRule="auto"/>
              <w:ind w:left="426" w:hanging="284"/>
              <w:rPr>
                <w:lang w:val="hr-HR"/>
              </w:rPr>
            </w:pPr>
          </w:p>
        </w:tc>
        <w:tc>
          <w:tcPr>
            <w:tcW w:w="2998" w:type="dxa"/>
          </w:tcPr>
          <w:p w14:paraId="72E1C0CC" w14:textId="77777777" w:rsidR="009068C2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Obuka</w:t>
            </w:r>
          </w:p>
          <w:p w14:paraId="30F9E26D" w14:textId="764464A0" w:rsidR="00085B55" w:rsidRDefault="009068C2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S</w:t>
            </w:r>
            <w:r w:rsidR="00FF5FC0">
              <w:rPr>
                <w:lang w:val="hr-HR"/>
              </w:rPr>
              <w:t xml:space="preserve">avetovanje </w:t>
            </w:r>
          </w:p>
        </w:tc>
        <w:tc>
          <w:tcPr>
            <w:tcW w:w="2999" w:type="dxa"/>
          </w:tcPr>
          <w:p w14:paraId="2263CE7D" w14:textId="77777777" w:rsidR="00FF5FC0" w:rsidRDefault="00FF5FC0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Formulisani indikatori i Protokoli </w:t>
            </w:r>
          </w:p>
          <w:p w14:paraId="69F56241" w14:textId="7DBCBB84" w:rsidR="00FF5FC0" w:rsidRDefault="00FF5FC0" w:rsidP="00D36368">
            <w:p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Kontinuirano praćenje i vrednovanje integracije ključnih kompetencija u učenje i nastavu </w:t>
            </w:r>
          </w:p>
          <w:p w14:paraId="32525D66" w14:textId="1870CFA6" w:rsidR="00BD13AB" w:rsidRDefault="00BD13AB" w:rsidP="00D36368">
            <w:pPr>
              <w:spacing w:before="100" w:after="100" w:line="276" w:lineRule="auto"/>
              <w:rPr>
                <w:lang w:val="hr-HR"/>
              </w:rPr>
            </w:pPr>
          </w:p>
        </w:tc>
      </w:tr>
    </w:tbl>
    <w:p w14:paraId="3FB48C2A" w14:textId="77777777" w:rsidR="003B0B93" w:rsidRDefault="00472A79" w:rsidP="003F6584">
      <w:pPr>
        <w:spacing w:before="100" w:after="100" w:line="360" w:lineRule="auto"/>
        <w:ind w:left="360"/>
        <w:rPr>
          <w:lang w:val="hr-HR"/>
        </w:rPr>
      </w:pPr>
      <w:r w:rsidRPr="00692DE8">
        <w:rPr>
          <w:lang w:val="hr-HR"/>
        </w:rPr>
        <w:lastRenderedPageBreak/>
        <w:t xml:space="preserve"> </w:t>
      </w:r>
    </w:p>
    <w:p w14:paraId="4502906C" w14:textId="0C71EF6B" w:rsidR="00472A79" w:rsidRPr="00692DE8" w:rsidRDefault="00692DE8" w:rsidP="003F6584">
      <w:pPr>
        <w:spacing w:before="100" w:after="100" w:line="360" w:lineRule="auto"/>
        <w:ind w:left="360"/>
        <w:rPr>
          <w:b/>
          <w:color w:val="800000"/>
          <w:sz w:val="24"/>
          <w:lang w:val="sr-Latn-RS"/>
        </w:rPr>
      </w:pPr>
      <w:r w:rsidRPr="00692DE8">
        <w:rPr>
          <w:b/>
          <w:color w:val="800000"/>
          <w:sz w:val="24"/>
          <w:lang w:val="sr-Latn-RS"/>
        </w:rPr>
        <w:t>Metodologija</w:t>
      </w:r>
    </w:p>
    <w:p w14:paraId="7A56BC54" w14:textId="1B4D1B20" w:rsidR="002C5AD0" w:rsidRDefault="002C5AD0" w:rsidP="003F6584">
      <w:pPr>
        <w:spacing w:before="100" w:after="100" w:line="360" w:lineRule="auto"/>
        <w:rPr>
          <w:lang w:val="sr-Latn-RS"/>
        </w:rPr>
      </w:pPr>
      <w:r>
        <w:rPr>
          <w:lang w:val="sr-Latn-RS"/>
        </w:rPr>
        <w:t xml:space="preserve">Glavni metodološki pristup </w:t>
      </w:r>
      <w:r w:rsidR="00B1103E">
        <w:rPr>
          <w:lang w:val="sr-Latn-RS"/>
        </w:rPr>
        <w:t>u</w:t>
      </w:r>
      <w:r>
        <w:rPr>
          <w:lang w:val="sr-Latn-RS"/>
        </w:rPr>
        <w:t xml:space="preserve"> izgradnji kapaciteta zasnovan je na </w:t>
      </w:r>
      <w:r w:rsidR="00904A3E">
        <w:rPr>
          <w:lang w:val="sr-Latn-RS"/>
        </w:rPr>
        <w:t xml:space="preserve">sledećim </w:t>
      </w:r>
      <w:r w:rsidR="00DE4F73">
        <w:rPr>
          <w:lang w:val="sr-Latn-RS"/>
        </w:rPr>
        <w:t>stubovima</w:t>
      </w:r>
      <w:r>
        <w:rPr>
          <w:lang w:val="sr-Latn-RS"/>
        </w:rPr>
        <w:t>:</w:t>
      </w:r>
    </w:p>
    <w:p w14:paraId="31D3BFE8" w14:textId="6E86A263" w:rsidR="00224A03" w:rsidRDefault="00224A03" w:rsidP="003F6584">
      <w:pPr>
        <w:pStyle w:val="ListParagraph"/>
        <w:numPr>
          <w:ilvl w:val="0"/>
          <w:numId w:val="17"/>
        </w:numPr>
        <w:spacing w:before="100" w:after="100" w:line="360" w:lineRule="auto"/>
        <w:rPr>
          <w:lang w:val="sr-Latn-RS"/>
        </w:rPr>
      </w:pPr>
      <w:r>
        <w:rPr>
          <w:lang w:val="sr-Latn-RS"/>
        </w:rPr>
        <w:t xml:space="preserve">Podizanje kapaciteta </w:t>
      </w:r>
      <w:r w:rsidR="00300D73">
        <w:rPr>
          <w:lang w:val="sr-Latn-RS"/>
        </w:rPr>
        <w:t>kao proces</w:t>
      </w:r>
    </w:p>
    <w:p w14:paraId="37EF51D8" w14:textId="105685A9" w:rsidR="002C5AD0" w:rsidRDefault="002C5AD0" w:rsidP="003F6584">
      <w:pPr>
        <w:pStyle w:val="ListParagraph"/>
        <w:numPr>
          <w:ilvl w:val="0"/>
          <w:numId w:val="17"/>
        </w:numPr>
        <w:spacing w:before="100" w:after="100" w:line="360" w:lineRule="auto"/>
        <w:rPr>
          <w:lang w:val="sr-Latn-RS"/>
        </w:rPr>
      </w:pPr>
      <w:r>
        <w:rPr>
          <w:lang w:val="sr-Latn-RS"/>
        </w:rPr>
        <w:t xml:space="preserve">Puna participacija </w:t>
      </w:r>
      <w:r w:rsidR="00904A3E">
        <w:rPr>
          <w:lang w:val="sr-Latn-RS"/>
        </w:rPr>
        <w:t xml:space="preserve">ciljnih grupa u </w:t>
      </w:r>
      <w:r w:rsidR="008A6617">
        <w:rPr>
          <w:lang w:val="sr-Latn-RS"/>
        </w:rPr>
        <w:t>podizanju kapaciteta</w:t>
      </w:r>
      <w:r w:rsidR="00904A3E">
        <w:rPr>
          <w:lang w:val="sr-Latn-RS"/>
        </w:rPr>
        <w:t xml:space="preserve"> i realizaciji zadataka </w:t>
      </w:r>
    </w:p>
    <w:p w14:paraId="314700AB" w14:textId="7D943CC9" w:rsidR="00692DE8" w:rsidRDefault="00AA4E66" w:rsidP="003F6584">
      <w:pPr>
        <w:pStyle w:val="ListParagraph"/>
        <w:numPr>
          <w:ilvl w:val="0"/>
          <w:numId w:val="17"/>
        </w:numPr>
        <w:spacing w:before="100" w:after="100" w:line="360" w:lineRule="auto"/>
        <w:rPr>
          <w:lang w:val="sr-Latn-RS"/>
        </w:rPr>
      </w:pPr>
      <w:r>
        <w:rPr>
          <w:lang w:val="sr-Latn-RS"/>
        </w:rPr>
        <w:t xml:space="preserve">Profesionalizacija zaposlenih u obrazovanju </w:t>
      </w:r>
    </w:p>
    <w:p w14:paraId="332AB92C" w14:textId="34362CB7" w:rsidR="001F027B" w:rsidRPr="009068C2" w:rsidRDefault="00B1103E" w:rsidP="003F6584">
      <w:pPr>
        <w:pStyle w:val="ListParagraph"/>
        <w:numPr>
          <w:ilvl w:val="0"/>
          <w:numId w:val="17"/>
        </w:numPr>
        <w:spacing w:before="100" w:after="100" w:line="360" w:lineRule="auto"/>
        <w:rPr>
          <w:lang w:val="sr-Latn-RS"/>
        </w:rPr>
      </w:pPr>
      <w:r w:rsidRPr="009068C2">
        <w:rPr>
          <w:lang w:val="sr-Latn-RS"/>
        </w:rPr>
        <w:t xml:space="preserve">Razvoj programa obuke </w:t>
      </w:r>
      <w:r w:rsidR="00291506">
        <w:rPr>
          <w:lang w:val="sr-Latn-RS"/>
        </w:rPr>
        <w:t xml:space="preserve">prema potrebama </w:t>
      </w:r>
      <w:r w:rsidR="00B531D4">
        <w:rPr>
          <w:lang w:val="sr-Latn-RS"/>
        </w:rPr>
        <w:t>i konceptu učenja na daljinu</w:t>
      </w:r>
    </w:p>
    <w:p w14:paraId="5A44E143" w14:textId="5290A558" w:rsidR="00224A03" w:rsidRPr="00224A03" w:rsidRDefault="00224A03" w:rsidP="00091D79">
      <w:pPr>
        <w:spacing w:before="100" w:line="360" w:lineRule="auto"/>
        <w:jc w:val="both"/>
        <w:rPr>
          <w:lang w:val="sr-Latn-RS"/>
        </w:rPr>
      </w:pPr>
      <w:r w:rsidRPr="00921070">
        <w:rPr>
          <w:b/>
          <w:lang w:val="sr-Latn-RS"/>
        </w:rPr>
        <w:t>Prvi stub</w:t>
      </w:r>
      <w:r>
        <w:rPr>
          <w:lang w:val="sr-Latn-RS"/>
        </w:rPr>
        <w:t xml:space="preserve"> </w:t>
      </w:r>
      <w:r w:rsidR="00921070">
        <w:rPr>
          <w:lang w:val="sr-Latn-RS"/>
        </w:rPr>
        <w:t xml:space="preserve">metodološkog pristupa predstavlja shvatanje </w:t>
      </w:r>
      <w:r w:rsidR="009779AC">
        <w:rPr>
          <w:lang w:val="sr-Latn-RS"/>
        </w:rPr>
        <w:t>izgradnje</w:t>
      </w:r>
      <w:r w:rsidR="00921070">
        <w:rPr>
          <w:lang w:val="sr-Latn-RS"/>
        </w:rPr>
        <w:t xml:space="preserve"> kapaciteta kao </w:t>
      </w:r>
      <w:r w:rsidR="00921070" w:rsidRPr="003D4A7C">
        <w:rPr>
          <w:b/>
          <w:lang w:val="sr-Latn-RS"/>
        </w:rPr>
        <w:t>procesa</w:t>
      </w:r>
      <w:r w:rsidR="00921070">
        <w:rPr>
          <w:lang w:val="sr-Latn-RS"/>
        </w:rPr>
        <w:t xml:space="preserve"> razvij</w:t>
      </w:r>
      <w:r w:rsidR="009779AC">
        <w:rPr>
          <w:lang w:val="sr-Latn-RS"/>
        </w:rPr>
        <w:t xml:space="preserve">anja, jačanja, znanja, veština i </w:t>
      </w:r>
      <w:r w:rsidR="00921070">
        <w:rPr>
          <w:lang w:val="sr-Latn-RS"/>
        </w:rPr>
        <w:t xml:space="preserve">snaga koje su potrebne </w:t>
      </w:r>
      <w:r w:rsidR="009779AC">
        <w:rPr>
          <w:lang w:val="sr-Latn-RS"/>
        </w:rPr>
        <w:t xml:space="preserve">bilo </w:t>
      </w:r>
      <w:r w:rsidR="00921070">
        <w:rPr>
          <w:lang w:val="sr-Latn-RS"/>
        </w:rPr>
        <w:t>pojed</w:t>
      </w:r>
      <w:r w:rsidR="00A0110D">
        <w:rPr>
          <w:lang w:val="sr-Latn-RS"/>
        </w:rPr>
        <w:t>i</w:t>
      </w:r>
      <w:r w:rsidR="00921070">
        <w:rPr>
          <w:lang w:val="sr-Latn-RS"/>
        </w:rPr>
        <w:t xml:space="preserve">ncima, </w:t>
      </w:r>
      <w:r w:rsidR="00F421DF">
        <w:rPr>
          <w:lang w:val="sr-Latn-RS"/>
        </w:rPr>
        <w:t>institucijama</w:t>
      </w:r>
      <w:r w:rsidR="00921070">
        <w:rPr>
          <w:lang w:val="sr-Latn-RS"/>
        </w:rPr>
        <w:t xml:space="preserve"> </w:t>
      </w:r>
      <w:r w:rsidR="009068C2">
        <w:rPr>
          <w:lang w:val="sr-Latn-RS"/>
        </w:rPr>
        <w:t>i</w:t>
      </w:r>
      <w:r w:rsidR="00F421DF">
        <w:rPr>
          <w:lang w:val="sr-Latn-RS"/>
        </w:rPr>
        <w:t>li</w:t>
      </w:r>
      <w:r w:rsidR="00921070">
        <w:rPr>
          <w:lang w:val="sr-Latn-RS"/>
        </w:rPr>
        <w:t xml:space="preserve"> zajednici kako bi </w:t>
      </w:r>
      <w:r w:rsidR="00BE1CC4">
        <w:rPr>
          <w:lang w:val="sr-Latn-RS"/>
        </w:rPr>
        <w:t>napredovali u</w:t>
      </w:r>
      <w:r w:rsidR="00A0110D">
        <w:rPr>
          <w:lang w:val="sr-Latn-RS"/>
        </w:rPr>
        <w:t xml:space="preserve"> okruženj</w:t>
      </w:r>
      <w:r w:rsidR="00BE1CC4">
        <w:rPr>
          <w:lang w:val="sr-Latn-RS"/>
        </w:rPr>
        <w:t>u</w:t>
      </w:r>
      <w:r w:rsidR="00A0110D">
        <w:rPr>
          <w:lang w:val="sr-Latn-RS"/>
        </w:rPr>
        <w:t xml:space="preserve"> koje se konstant</w:t>
      </w:r>
      <w:r w:rsidR="00BE1CC4">
        <w:rPr>
          <w:lang w:val="sr-Latn-RS"/>
        </w:rPr>
        <w:t>n</w:t>
      </w:r>
      <w:r w:rsidR="009E5D6D">
        <w:rPr>
          <w:lang w:val="sr-Latn-RS"/>
        </w:rPr>
        <w:t xml:space="preserve">o menja. Razvoj kapaciteta prema tome zahteva konstuktivnost i spremnost na menjanje, </w:t>
      </w:r>
      <w:r w:rsidR="003D4A7C">
        <w:rPr>
          <w:lang w:val="sr-Latn-RS"/>
        </w:rPr>
        <w:t>izlazak iz zone komfora i rutine i oblikovanje</w:t>
      </w:r>
      <w:r w:rsidR="009E5D6D">
        <w:rPr>
          <w:lang w:val="sr-Latn-RS"/>
        </w:rPr>
        <w:t xml:space="preserve"> </w:t>
      </w:r>
      <w:r w:rsidR="003D4A7C">
        <w:rPr>
          <w:lang w:val="sr-Latn-RS"/>
        </w:rPr>
        <w:t>stvarnosti</w:t>
      </w:r>
      <w:r w:rsidR="009E5D6D">
        <w:rPr>
          <w:lang w:val="sr-Latn-RS"/>
        </w:rPr>
        <w:t xml:space="preserve"> koje </w:t>
      </w:r>
      <w:r w:rsidR="003D4A7C">
        <w:rPr>
          <w:lang w:val="sr-Latn-RS"/>
        </w:rPr>
        <w:t>adekvatno odgovara na promene i u saglasju je</w:t>
      </w:r>
      <w:r w:rsidR="009E5D6D">
        <w:rPr>
          <w:lang w:val="sr-Latn-RS"/>
        </w:rPr>
        <w:t xml:space="preserve"> sa </w:t>
      </w:r>
      <w:r w:rsidR="003D4A7C">
        <w:rPr>
          <w:lang w:val="sr-Latn-RS"/>
        </w:rPr>
        <w:t>njima</w:t>
      </w:r>
      <w:r w:rsidR="009E5D6D">
        <w:rPr>
          <w:lang w:val="sr-Latn-RS"/>
        </w:rPr>
        <w:t xml:space="preserve">. Pojedinac, grupa </w:t>
      </w:r>
      <w:r w:rsidR="009068C2">
        <w:rPr>
          <w:lang w:val="sr-Latn-RS"/>
        </w:rPr>
        <w:t>i</w:t>
      </w:r>
      <w:r w:rsidR="009E5D6D">
        <w:rPr>
          <w:lang w:val="sr-Latn-RS"/>
        </w:rPr>
        <w:t xml:space="preserve"> zajednica se tako transformišu u pronalaženju </w:t>
      </w:r>
      <w:r w:rsidR="003D4A7C">
        <w:rPr>
          <w:lang w:val="sr-Latn-RS"/>
        </w:rPr>
        <w:t>optimalnih</w:t>
      </w:r>
      <w:r w:rsidR="009E5D6D">
        <w:rPr>
          <w:lang w:val="sr-Latn-RS"/>
        </w:rPr>
        <w:t xml:space="preserve"> odgovora u odnosu na zahtev sredine. </w:t>
      </w:r>
      <w:r w:rsidR="008A6617">
        <w:rPr>
          <w:lang w:val="sr-Latn-RS"/>
        </w:rPr>
        <w:t>U</w:t>
      </w:r>
      <w:r w:rsidR="009E5D6D">
        <w:rPr>
          <w:lang w:val="sr-Latn-RS"/>
        </w:rPr>
        <w:t xml:space="preserve">čenje </w:t>
      </w:r>
      <w:r w:rsidR="008A6617">
        <w:rPr>
          <w:lang w:val="sr-Latn-RS"/>
        </w:rPr>
        <w:t>i izgradnja kapaciteta se ne može desiti bez</w:t>
      </w:r>
      <w:r w:rsidR="009E5D6D">
        <w:rPr>
          <w:lang w:val="sr-Latn-RS"/>
        </w:rPr>
        <w:t xml:space="preserve"> transformacije, činjenja promene </w:t>
      </w:r>
      <w:r w:rsidR="008A6617">
        <w:rPr>
          <w:lang w:val="sr-Latn-RS"/>
        </w:rPr>
        <w:t xml:space="preserve">i </w:t>
      </w:r>
      <w:r w:rsidR="00B81C34">
        <w:rPr>
          <w:lang w:val="sr-Latn-RS"/>
        </w:rPr>
        <w:t>svrsishodnog adaptiranja</w:t>
      </w:r>
      <w:r w:rsidR="008A6617">
        <w:rPr>
          <w:lang w:val="sr-Latn-RS"/>
        </w:rPr>
        <w:t xml:space="preserve"> na menjajuću stvarnost.</w:t>
      </w:r>
      <w:r w:rsidR="00BE1CC4">
        <w:rPr>
          <w:lang w:val="sr-Latn-RS"/>
        </w:rPr>
        <w:t xml:space="preserve"> </w:t>
      </w:r>
      <w:r w:rsidR="00300D73">
        <w:rPr>
          <w:lang w:val="sr-Latn-RS"/>
        </w:rPr>
        <w:t>Izgradnja kapaciteta kao proces zahteva vreme, promišljanje, etapni rad na zad</w:t>
      </w:r>
      <w:r w:rsidR="00995F7D">
        <w:rPr>
          <w:lang w:val="sr-Latn-RS"/>
        </w:rPr>
        <w:t xml:space="preserve">acima </w:t>
      </w:r>
      <w:r w:rsidR="00300D73" w:rsidRPr="00300D73">
        <w:rPr>
          <w:lang w:val="sr-Latn-RS"/>
        </w:rPr>
        <w:t xml:space="preserve">do </w:t>
      </w:r>
      <w:r w:rsidR="000A435D">
        <w:rPr>
          <w:lang w:val="sr-Latn-RS"/>
        </w:rPr>
        <w:t xml:space="preserve">uvođenja </w:t>
      </w:r>
      <w:r w:rsidR="00300D73" w:rsidRPr="00300D73">
        <w:rPr>
          <w:lang w:val="sr-Latn-RS"/>
        </w:rPr>
        <w:t>promen</w:t>
      </w:r>
      <w:r w:rsidR="000A435D">
        <w:rPr>
          <w:lang w:val="sr-Latn-RS"/>
        </w:rPr>
        <w:t>a i adptiranja na njih.</w:t>
      </w:r>
    </w:p>
    <w:p w14:paraId="1DAC62A1" w14:textId="1BE8E049" w:rsidR="006E0BFA" w:rsidRPr="00930348" w:rsidRDefault="00224A03" w:rsidP="00B93E9A">
      <w:pPr>
        <w:spacing w:before="100" w:after="100" w:line="360" w:lineRule="auto"/>
        <w:jc w:val="both"/>
        <w:rPr>
          <w:lang w:val="sr-Latn-RS"/>
        </w:rPr>
      </w:pPr>
      <w:r>
        <w:rPr>
          <w:b/>
          <w:lang w:val="sr-Latn-RS"/>
        </w:rPr>
        <w:t>Drugi</w:t>
      </w:r>
      <w:r w:rsidR="00DE4F73" w:rsidRPr="00003BCC">
        <w:rPr>
          <w:b/>
          <w:lang w:val="sr-Latn-RS"/>
        </w:rPr>
        <w:t xml:space="preserve"> stub</w:t>
      </w:r>
      <w:r w:rsidR="00DE4F73">
        <w:rPr>
          <w:lang w:val="sr-Latn-RS"/>
        </w:rPr>
        <w:t xml:space="preserve"> se odnosi na punu participaciju ciljnih grupa u aktivnostima podizanja kapaciteta</w:t>
      </w:r>
      <w:r w:rsidR="00AE483F">
        <w:rPr>
          <w:lang w:val="sr-Latn-RS"/>
        </w:rPr>
        <w:t xml:space="preserve">. Ovaj zahtev, </w:t>
      </w:r>
      <w:r w:rsidR="00DE4F73">
        <w:rPr>
          <w:lang w:val="sr-Latn-RS"/>
        </w:rPr>
        <w:t>nakon prve četvrtine proje</w:t>
      </w:r>
      <w:r w:rsidR="00917A81">
        <w:rPr>
          <w:lang w:val="sr-Latn-RS"/>
        </w:rPr>
        <w:t xml:space="preserve">kta </w:t>
      </w:r>
      <w:r w:rsidR="00AE483F">
        <w:rPr>
          <w:lang w:val="sr-Latn-RS"/>
        </w:rPr>
        <w:t>je</w:t>
      </w:r>
      <w:r w:rsidR="00917A81">
        <w:rPr>
          <w:lang w:val="sr-Latn-RS"/>
        </w:rPr>
        <w:t xml:space="preserve"> u </w:t>
      </w:r>
      <w:r w:rsidR="00DE4F73">
        <w:rPr>
          <w:lang w:val="sr-Latn-RS"/>
        </w:rPr>
        <w:t>potpunosti ispunjen, obzirom na stopost</w:t>
      </w:r>
      <w:r w:rsidR="00B21992">
        <w:rPr>
          <w:lang w:val="sr-Latn-RS"/>
        </w:rPr>
        <w:t>ot</w:t>
      </w:r>
      <w:r w:rsidR="00DE4F73">
        <w:rPr>
          <w:lang w:val="sr-Latn-RS"/>
        </w:rPr>
        <w:t xml:space="preserve">no učešće svih pozvanih </w:t>
      </w:r>
      <w:r w:rsidR="006E0BFA">
        <w:rPr>
          <w:lang w:val="sr-Latn-RS"/>
        </w:rPr>
        <w:t xml:space="preserve">predstavnika institucija </w:t>
      </w:r>
      <w:r w:rsidR="00DE4F73">
        <w:rPr>
          <w:lang w:val="sr-Latn-RS"/>
        </w:rPr>
        <w:t xml:space="preserve">na </w:t>
      </w:r>
      <w:r w:rsidR="00AE483F">
        <w:rPr>
          <w:lang w:val="sr-Latn-RS"/>
        </w:rPr>
        <w:t xml:space="preserve">radionice i sastanke povodom izrade </w:t>
      </w:r>
      <w:r w:rsidR="00DE4F73">
        <w:rPr>
          <w:lang w:val="sr-Latn-RS"/>
        </w:rPr>
        <w:t xml:space="preserve">starteških dokumenta Projekta. </w:t>
      </w:r>
      <w:r w:rsidR="006E0BFA" w:rsidRPr="00930348">
        <w:rPr>
          <w:lang w:val="sr-Latn-RS"/>
        </w:rPr>
        <w:t xml:space="preserve">Crnogorski okvir ključnih kompetencija je razvijan kroz organizovane radionice i radne sastanke, detaljno su razmatrani i menjani ishodi u </w:t>
      </w:r>
      <w:r w:rsidR="00AB10B1" w:rsidRPr="00930348">
        <w:rPr>
          <w:lang w:val="sr-Latn-RS"/>
        </w:rPr>
        <w:t xml:space="preserve">etapnom </w:t>
      </w:r>
      <w:r w:rsidR="006E0BFA" w:rsidRPr="00930348">
        <w:rPr>
          <w:lang w:val="sr-Latn-RS"/>
        </w:rPr>
        <w:t xml:space="preserve">procesu </w:t>
      </w:r>
      <w:r w:rsidR="00AB10B1" w:rsidRPr="00930348">
        <w:rPr>
          <w:lang w:val="sr-Latn-RS"/>
        </w:rPr>
        <w:t>rada do</w:t>
      </w:r>
      <w:r w:rsidR="006E0BFA" w:rsidRPr="00930348">
        <w:rPr>
          <w:lang w:val="sr-Latn-RS"/>
        </w:rPr>
        <w:t xml:space="preserve"> usaglašen</w:t>
      </w:r>
      <w:r w:rsidR="00AB10B1" w:rsidRPr="00930348">
        <w:rPr>
          <w:lang w:val="sr-Latn-RS"/>
        </w:rPr>
        <w:t>e</w:t>
      </w:r>
      <w:r w:rsidR="006E0BFA" w:rsidRPr="00930348">
        <w:rPr>
          <w:lang w:val="sr-Latn-RS"/>
        </w:rPr>
        <w:t xml:space="preserve"> radn</w:t>
      </w:r>
      <w:r w:rsidR="00AB10B1" w:rsidRPr="00930348">
        <w:rPr>
          <w:lang w:val="sr-Latn-RS"/>
        </w:rPr>
        <w:t>e</w:t>
      </w:r>
      <w:r w:rsidR="006E0BFA" w:rsidRPr="00930348">
        <w:rPr>
          <w:lang w:val="sr-Latn-RS"/>
        </w:rPr>
        <w:t xml:space="preserve"> verzij</w:t>
      </w:r>
      <w:r w:rsidR="00AB10B1" w:rsidRPr="00930348">
        <w:rPr>
          <w:lang w:val="sr-Latn-RS"/>
        </w:rPr>
        <w:t>e</w:t>
      </w:r>
      <w:r w:rsidR="006E0BFA" w:rsidRPr="00930348">
        <w:rPr>
          <w:lang w:val="sr-Latn-RS"/>
        </w:rPr>
        <w:t xml:space="preserve"> koja će svoju efikasnost </w:t>
      </w:r>
      <w:r w:rsidR="00AB10B1" w:rsidRPr="00930348">
        <w:rPr>
          <w:lang w:val="sr-Latn-RS"/>
        </w:rPr>
        <w:t>pokazati povratnom informacijom od samih nastavnika.</w:t>
      </w:r>
      <w:r w:rsidR="006E0BFA" w:rsidRPr="00930348">
        <w:rPr>
          <w:lang w:val="sr-Latn-RS"/>
        </w:rPr>
        <w:t xml:space="preserve"> </w:t>
      </w:r>
    </w:p>
    <w:p w14:paraId="4A2A3BAB" w14:textId="441B86C4" w:rsidR="00873C95" w:rsidRDefault="00DE4F73" w:rsidP="00B93E9A">
      <w:pPr>
        <w:spacing w:before="100" w:after="100" w:line="360" w:lineRule="auto"/>
        <w:jc w:val="both"/>
        <w:rPr>
          <w:lang w:val="sr-Latn-RS"/>
        </w:rPr>
      </w:pPr>
      <w:r w:rsidRPr="00930348">
        <w:rPr>
          <w:lang w:val="sr-Latn-RS"/>
        </w:rPr>
        <w:t>U narednom periodu očekuje se istove</w:t>
      </w:r>
      <w:r w:rsidR="00B21992" w:rsidRPr="00930348">
        <w:rPr>
          <w:lang w:val="sr-Latn-RS"/>
        </w:rPr>
        <w:t>tni odziv nastavnika na obukama i njihovo</w:t>
      </w:r>
      <w:r w:rsidR="00B21992">
        <w:rPr>
          <w:lang w:val="sr-Latn-RS"/>
        </w:rPr>
        <w:t xml:space="preserve"> aktivno učešće u razvoju primera plana časa, projektnih aktivnosti i </w:t>
      </w:r>
      <w:r w:rsidR="008A6617">
        <w:rPr>
          <w:lang w:val="sr-Latn-RS"/>
        </w:rPr>
        <w:t>interdisciplinarn</w:t>
      </w:r>
      <w:r w:rsidR="00091D79">
        <w:rPr>
          <w:lang w:val="sr-Latn-RS"/>
        </w:rPr>
        <w:t>og</w:t>
      </w:r>
      <w:r w:rsidR="008A6617">
        <w:rPr>
          <w:lang w:val="sr-Latn-RS"/>
        </w:rPr>
        <w:t xml:space="preserve"> </w:t>
      </w:r>
      <w:r w:rsidR="00B21992">
        <w:rPr>
          <w:lang w:val="sr-Latn-RS"/>
        </w:rPr>
        <w:t xml:space="preserve">integrisanja sa drugim predmetima </w:t>
      </w:r>
      <w:r w:rsidR="001F027B">
        <w:rPr>
          <w:lang w:val="sr-Latn-RS"/>
        </w:rPr>
        <w:t>u cilju</w:t>
      </w:r>
      <w:r w:rsidR="00B21992">
        <w:rPr>
          <w:lang w:val="sr-Latn-RS"/>
        </w:rPr>
        <w:t xml:space="preserve"> razvoja ključnih kompetencija učenika. </w:t>
      </w:r>
      <w:r w:rsidR="00B21992" w:rsidRPr="00C13CF1">
        <w:rPr>
          <w:lang w:val="sr-Latn-RS"/>
        </w:rPr>
        <w:t xml:space="preserve">Od nastavnika se očekuje da </w:t>
      </w:r>
      <w:r w:rsidR="00EA2E64" w:rsidRPr="00C13CF1">
        <w:rPr>
          <w:lang w:val="sr-Latn-RS"/>
        </w:rPr>
        <w:t xml:space="preserve">u okviru obuka započnu </w:t>
      </w:r>
      <w:r w:rsidR="00B21992" w:rsidRPr="00C13CF1">
        <w:rPr>
          <w:lang w:val="sr-Latn-RS"/>
        </w:rPr>
        <w:t>razvijaj</w:t>
      </w:r>
      <w:r w:rsidR="00EA2E64" w:rsidRPr="00C13CF1">
        <w:rPr>
          <w:lang w:val="sr-Latn-RS"/>
        </w:rPr>
        <w:t>anje</w:t>
      </w:r>
      <w:r w:rsidR="00B21992" w:rsidRPr="00C13CF1">
        <w:rPr>
          <w:lang w:val="sr-Latn-RS"/>
        </w:rPr>
        <w:t xml:space="preserve"> sopstven</w:t>
      </w:r>
      <w:r w:rsidR="00EA2E64" w:rsidRPr="00C13CF1">
        <w:rPr>
          <w:lang w:val="sr-Latn-RS"/>
        </w:rPr>
        <w:t>ih</w:t>
      </w:r>
      <w:r w:rsidR="00B21992" w:rsidRPr="00C13CF1">
        <w:rPr>
          <w:lang w:val="sr-Latn-RS"/>
        </w:rPr>
        <w:t xml:space="preserve"> </w:t>
      </w:r>
      <w:r w:rsidR="00EA2E64" w:rsidRPr="00C13CF1">
        <w:rPr>
          <w:lang w:val="sr-Latn-RS"/>
        </w:rPr>
        <w:t xml:space="preserve">pristupa nastavi i učenju </w:t>
      </w:r>
      <w:r w:rsidR="00B21992" w:rsidRPr="00C13CF1">
        <w:rPr>
          <w:lang w:val="sr-Latn-RS"/>
        </w:rPr>
        <w:t xml:space="preserve">u realizaciji </w:t>
      </w:r>
      <w:r w:rsidR="00003BCC" w:rsidRPr="00C13CF1">
        <w:rPr>
          <w:lang w:val="sr-Latn-RS"/>
        </w:rPr>
        <w:t>ishoda Crnogorskog okvirnog programa i predl</w:t>
      </w:r>
      <w:r w:rsidR="00EA2E64" w:rsidRPr="00C13CF1">
        <w:rPr>
          <w:lang w:val="sr-Latn-RS"/>
        </w:rPr>
        <w:t>o</w:t>
      </w:r>
      <w:r w:rsidR="00003BCC" w:rsidRPr="00C13CF1">
        <w:rPr>
          <w:lang w:val="sr-Latn-RS"/>
        </w:rPr>
        <w:t>ž</w:t>
      </w:r>
      <w:r w:rsidR="00EA2E64" w:rsidRPr="00C13CF1">
        <w:rPr>
          <w:lang w:val="sr-Latn-RS"/>
        </w:rPr>
        <w:t>e</w:t>
      </w:r>
      <w:r w:rsidR="00003BCC" w:rsidRPr="00C13CF1">
        <w:rPr>
          <w:lang w:val="sr-Latn-RS"/>
        </w:rPr>
        <w:t xml:space="preserve"> praktične </w:t>
      </w:r>
      <w:r w:rsidR="00EA2E64" w:rsidRPr="00C13CF1">
        <w:rPr>
          <w:lang w:val="sr-Latn-RS"/>
        </w:rPr>
        <w:t xml:space="preserve">i ostvarive primere časova bilo u okviru svog predmeta, ili </w:t>
      </w:r>
      <w:r w:rsidR="00091D79">
        <w:rPr>
          <w:lang w:val="sr-Latn-RS"/>
        </w:rPr>
        <w:t>međupredmetno/</w:t>
      </w:r>
      <w:r w:rsidR="00EA2E64" w:rsidRPr="00C13CF1">
        <w:rPr>
          <w:lang w:val="sr-Latn-RS"/>
        </w:rPr>
        <w:t>interdisciplinar</w:t>
      </w:r>
      <w:r w:rsidR="00091D79">
        <w:rPr>
          <w:lang w:val="sr-Latn-RS"/>
        </w:rPr>
        <w:t>no, preko povezujućih tema</w:t>
      </w:r>
      <w:r w:rsidR="008D0E3F" w:rsidRPr="00C13CF1">
        <w:rPr>
          <w:lang w:val="sr-Latn-RS"/>
        </w:rPr>
        <w:t xml:space="preserve">. </w:t>
      </w:r>
      <w:r w:rsidR="00EA2E64" w:rsidRPr="00C13CF1">
        <w:rPr>
          <w:lang w:val="sr-Latn-RS"/>
        </w:rPr>
        <w:t xml:space="preserve"> </w:t>
      </w:r>
      <w:r w:rsidR="008D0E3F" w:rsidRPr="00C13CF1">
        <w:rPr>
          <w:lang w:val="sr-Latn-RS"/>
        </w:rPr>
        <w:t xml:space="preserve">Ovi primeri bi </w:t>
      </w:r>
      <w:r w:rsidR="00003BCC" w:rsidRPr="00C13CF1">
        <w:rPr>
          <w:lang w:val="sr-Latn-RS"/>
        </w:rPr>
        <w:t>bil</w:t>
      </w:r>
      <w:r w:rsidR="00EA2E64" w:rsidRPr="00C13CF1">
        <w:rPr>
          <w:lang w:val="sr-Latn-RS"/>
        </w:rPr>
        <w:t>i</w:t>
      </w:r>
      <w:r w:rsidR="00003BCC" w:rsidRPr="00C13CF1">
        <w:rPr>
          <w:lang w:val="sr-Latn-RS"/>
        </w:rPr>
        <w:t xml:space="preserve"> osnova njihovog kolegijalnog učenja i razmene iskustava</w:t>
      </w:r>
      <w:r w:rsidR="00EA2E64" w:rsidRPr="00C13CF1">
        <w:rPr>
          <w:lang w:val="sr-Latn-RS"/>
        </w:rPr>
        <w:t xml:space="preserve"> bilo u formi uglednih i oglednih časova, ili </w:t>
      </w:r>
      <w:r w:rsidR="00091D79">
        <w:rPr>
          <w:lang w:val="sr-Latn-RS"/>
        </w:rPr>
        <w:t xml:space="preserve">u nekoj drugoj formi koja podrazumeva horizantalno učenje i deljenje iskustava i dobrih praksi. </w:t>
      </w:r>
      <w:r w:rsidR="00003BCC">
        <w:rPr>
          <w:lang w:val="sr-Latn-RS"/>
        </w:rPr>
        <w:t xml:space="preserve"> </w:t>
      </w:r>
    </w:p>
    <w:p w14:paraId="439F2ADC" w14:textId="77777777" w:rsidR="008D0E3F" w:rsidRDefault="00873C95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lastRenderedPageBreak/>
        <w:t xml:space="preserve">Takođe se očekuje i puna participacija direktora u </w:t>
      </w:r>
      <w:r w:rsidR="008D0E3F">
        <w:rPr>
          <w:lang w:val="sr-Latn-RS"/>
        </w:rPr>
        <w:t xml:space="preserve">planiranim obukama kako bi se obezbedilo </w:t>
      </w:r>
      <w:r>
        <w:rPr>
          <w:lang w:val="sr-Latn-RS"/>
        </w:rPr>
        <w:t xml:space="preserve">donošenju odluka na nivou škole o uvođenju razvoja ishoda ključnih kompetencija u standardno planiranje </w:t>
      </w:r>
      <w:r w:rsidR="001F027B">
        <w:rPr>
          <w:lang w:val="sr-Latn-RS"/>
        </w:rPr>
        <w:t xml:space="preserve">i programiranje nastave i učenja kao i </w:t>
      </w:r>
      <w:r>
        <w:rPr>
          <w:lang w:val="sr-Latn-RS"/>
        </w:rPr>
        <w:t xml:space="preserve">delegiranje zadataka nastavničkim timovima. </w:t>
      </w:r>
    </w:p>
    <w:p w14:paraId="7340A866" w14:textId="38A967AF" w:rsidR="00003BCC" w:rsidRDefault="00873C95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 xml:space="preserve">Prosvetni nadzornici su već uključeni u </w:t>
      </w:r>
      <w:r w:rsidR="008D0E3F">
        <w:rPr>
          <w:lang w:val="sr-Latn-RS"/>
        </w:rPr>
        <w:t xml:space="preserve">radionice i </w:t>
      </w:r>
      <w:r>
        <w:rPr>
          <w:lang w:val="sr-Latn-RS"/>
        </w:rPr>
        <w:t>proces razvijanja indikatora i protokola za prećenje integracije ključnih kompetencija na svim obrazovnim nivoima</w:t>
      </w:r>
      <w:r w:rsidR="001F027B">
        <w:rPr>
          <w:lang w:val="sr-Latn-RS"/>
        </w:rPr>
        <w:t xml:space="preserve"> i obezbedili su punu participaciju</w:t>
      </w:r>
      <w:r>
        <w:rPr>
          <w:lang w:val="sr-Latn-RS"/>
        </w:rPr>
        <w:t xml:space="preserve">. </w:t>
      </w:r>
    </w:p>
    <w:p w14:paraId="517AEEE9" w14:textId="55A03BD7" w:rsidR="00F82AF5" w:rsidRDefault="00B449B2" w:rsidP="00B93E9A">
      <w:pPr>
        <w:spacing w:before="100" w:after="100" w:line="360" w:lineRule="auto"/>
        <w:jc w:val="both"/>
        <w:rPr>
          <w:lang w:val="sr-Latn-RS"/>
        </w:rPr>
      </w:pPr>
      <w:r>
        <w:rPr>
          <w:b/>
          <w:lang w:val="sr-Latn-RS"/>
        </w:rPr>
        <w:t>Treći</w:t>
      </w:r>
      <w:r w:rsidR="00B21992" w:rsidRPr="00003BCC">
        <w:rPr>
          <w:b/>
          <w:lang w:val="sr-Latn-RS"/>
        </w:rPr>
        <w:t xml:space="preserve"> metodološki stub</w:t>
      </w:r>
      <w:r w:rsidR="00B21992">
        <w:rPr>
          <w:lang w:val="sr-Latn-RS"/>
        </w:rPr>
        <w:t xml:space="preserve"> </w:t>
      </w:r>
      <w:r w:rsidR="00291506">
        <w:rPr>
          <w:lang w:val="sr-Latn-RS"/>
        </w:rPr>
        <w:t xml:space="preserve">profesionalizacije zaposlenih u obrazovanju zasniva se na </w:t>
      </w:r>
      <w:r w:rsidR="00291506" w:rsidRPr="00291506">
        <w:rPr>
          <w:lang w:val="sr-Latn-RS"/>
        </w:rPr>
        <w:t xml:space="preserve">Preporukama EU referentnog okvira </w:t>
      </w:r>
      <w:r w:rsidR="00291506">
        <w:rPr>
          <w:lang w:val="sr-Latn-RS"/>
        </w:rPr>
        <w:t xml:space="preserve">i nalazima </w:t>
      </w:r>
      <w:r w:rsidR="00291506" w:rsidRPr="00291506">
        <w:rPr>
          <w:lang w:val="sr-Latn-RS"/>
        </w:rPr>
        <w:t>analize stanja inicijalnog i KPR nastavnika u Crnoj Gori</w:t>
      </w:r>
      <w:r w:rsidR="00291506">
        <w:rPr>
          <w:lang w:val="sr-Latn-RS"/>
        </w:rPr>
        <w:t xml:space="preserve">. On podrazumeva </w:t>
      </w:r>
      <w:r w:rsidR="00B21992" w:rsidRPr="00904A3E">
        <w:rPr>
          <w:lang w:val="sr-Latn-RS"/>
        </w:rPr>
        <w:t>pružanj</w:t>
      </w:r>
      <w:r w:rsidR="00B531D4">
        <w:rPr>
          <w:lang w:val="sr-Latn-RS"/>
        </w:rPr>
        <w:t>e</w:t>
      </w:r>
      <w:r w:rsidR="00B21992" w:rsidRPr="00904A3E">
        <w:rPr>
          <w:lang w:val="sr-Latn-RS"/>
        </w:rPr>
        <w:t xml:space="preserve"> podrške učiteljima, nastavnicima i drugim edukatorima u sprovođenju nastave i učenja zasnovan</w:t>
      </w:r>
      <w:r w:rsidR="001F027B">
        <w:rPr>
          <w:lang w:val="sr-Latn-RS"/>
        </w:rPr>
        <w:t>ih</w:t>
      </w:r>
      <w:r w:rsidR="00B21992" w:rsidRPr="00904A3E">
        <w:rPr>
          <w:lang w:val="sr-Latn-RS"/>
        </w:rPr>
        <w:t xml:space="preserve"> na </w:t>
      </w:r>
      <w:r w:rsidR="00B21992">
        <w:rPr>
          <w:lang w:val="sr-Latn-RS"/>
        </w:rPr>
        <w:t xml:space="preserve">ključnim </w:t>
      </w:r>
      <w:r w:rsidR="00B21992" w:rsidRPr="00904A3E">
        <w:rPr>
          <w:lang w:val="sr-Latn-RS"/>
        </w:rPr>
        <w:t>kompetencijama</w:t>
      </w:r>
      <w:r w:rsidR="00003BCC">
        <w:rPr>
          <w:lang w:val="sr-Latn-RS"/>
        </w:rPr>
        <w:t xml:space="preserve"> </w:t>
      </w:r>
      <w:r w:rsidR="00F82AF5">
        <w:rPr>
          <w:lang w:val="sr-Latn-RS"/>
        </w:rPr>
        <w:t>kao fundamentu</w:t>
      </w:r>
      <w:r w:rsidR="00003BCC">
        <w:rPr>
          <w:lang w:val="sr-Latn-RS"/>
        </w:rPr>
        <w:t xml:space="preserve"> celoživotnog učenja</w:t>
      </w:r>
      <w:r w:rsidR="001F027B">
        <w:rPr>
          <w:lang w:val="sr-Latn-RS"/>
        </w:rPr>
        <w:t xml:space="preserve">. Ovo je jedna od supstancijalnih preporuka </w:t>
      </w:r>
      <w:r w:rsidR="00003BCC">
        <w:rPr>
          <w:lang w:val="sr-Latn-RS"/>
        </w:rPr>
        <w:t>Evropsk</w:t>
      </w:r>
      <w:r w:rsidR="001F027B">
        <w:rPr>
          <w:lang w:val="sr-Latn-RS"/>
        </w:rPr>
        <w:t>og</w:t>
      </w:r>
      <w:r w:rsidR="00003BCC">
        <w:rPr>
          <w:lang w:val="sr-Latn-RS"/>
        </w:rPr>
        <w:t xml:space="preserve"> referentn</w:t>
      </w:r>
      <w:r w:rsidR="001F027B">
        <w:rPr>
          <w:lang w:val="sr-Latn-RS"/>
        </w:rPr>
        <w:t>og</w:t>
      </w:r>
      <w:r w:rsidR="00003BCC">
        <w:rPr>
          <w:lang w:val="sr-Latn-RS"/>
        </w:rPr>
        <w:t xml:space="preserve"> okvir</w:t>
      </w:r>
      <w:r w:rsidR="001F027B">
        <w:rPr>
          <w:lang w:val="sr-Latn-RS"/>
        </w:rPr>
        <w:t xml:space="preserve">a </w:t>
      </w:r>
      <w:r w:rsidR="00003BCC">
        <w:rPr>
          <w:lang w:val="sr-Latn-RS"/>
        </w:rPr>
        <w:t xml:space="preserve"> koje </w:t>
      </w:r>
      <w:r w:rsidR="001F027B">
        <w:rPr>
          <w:lang w:val="sr-Latn-RS"/>
        </w:rPr>
        <w:t xml:space="preserve">u potpunosti zastupa i </w:t>
      </w:r>
      <w:r w:rsidR="00003BCC">
        <w:rPr>
          <w:lang w:val="sr-Latn-RS"/>
        </w:rPr>
        <w:t>Crnogorski</w:t>
      </w:r>
      <w:r w:rsidR="001F027B">
        <w:rPr>
          <w:lang w:val="sr-Latn-RS"/>
        </w:rPr>
        <w:t xml:space="preserve"> okvir</w:t>
      </w:r>
      <w:r w:rsidR="00F82AF5">
        <w:rPr>
          <w:lang w:val="sr-Latn-RS"/>
        </w:rPr>
        <w:t xml:space="preserve">. </w:t>
      </w:r>
      <w:r w:rsidR="00003BCC">
        <w:rPr>
          <w:lang w:val="sr-Latn-RS"/>
        </w:rPr>
        <w:t xml:space="preserve"> </w:t>
      </w:r>
      <w:r w:rsidR="00692DE8" w:rsidRPr="00692DE8">
        <w:rPr>
          <w:lang w:val="sr-Latn-RS"/>
        </w:rPr>
        <w:t>Preporuka se odnosi na domen profesionalnog rasta zaposlenih u obrazovanju</w:t>
      </w:r>
      <w:r w:rsidR="00400ED7">
        <w:rPr>
          <w:lang w:val="sr-Latn-RS"/>
        </w:rPr>
        <w:t xml:space="preserve"> i izgradnj</w:t>
      </w:r>
      <w:r w:rsidR="00344A1D">
        <w:rPr>
          <w:lang w:val="sr-Latn-RS"/>
        </w:rPr>
        <w:t>i</w:t>
      </w:r>
      <w:r w:rsidR="00400ED7">
        <w:rPr>
          <w:lang w:val="sr-Latn-RS"/>
        </w:rPr>
        <w:t xml:space="preserve"> njihovih kapaciteta </w:t>
      </w:r>
      <w:r w:rsidR="00003BCC">
        <w:rPr>
          <w:lang w:val="sr-Latn-RS"/>
        </w:rPr>
        <w:t xml:space="preserve">kao kvalifikovanih stručnjaka. </w:t>
      </w:r>
      <w:r w:rsidR="00692DE8" w:rsidRPr="00692DE8">
        <w:rPr>
          <w:lang w:val="sr-Latn-RS"/>
        </w:rPr>
        <w:t xml:space="preserve"> Ovde se pre svega misli na ospos</w:t>
      </w:r>
      <w:r w:rsidR="00F82AF5">
        <w:rPr>
          <w:lang w:val="sr-Latn-RS"/>
        </w:rPr>
        <w:t>obljavanj</w:t>
      </w:r>
      <w:r w:rsidR="00F94BF7">
        <w:rPr>
          <w:lang w:val="sr-Latn-RS"/>
        </w:rPr>
        <w:t>e</w:t>
      </w:r>
      <w:r w:rsidR="00F82AF5">
        <w:rPr>
          <w:lang w:val="sr-Latn-RS"/>
        </w:rPr>
        <w:t xml:space="preserve"> i učenj</w:t>
      </w:r>
      <w:r w:rsidR="00F94BF7">
        <w:rPr>
          <w:lang w:val="sr-Latn-RS"/>
        </w:rPr>
        <w:t>e</w:t>
      </w:r>
      <w:r w:rsidR="00F82AF5">
        <w:rPr>
          <w:lang w:val="sr-Latn-RS"/>
        </w:rPr>
        <w:t xml:space="preserve"> koji su usm</w:t>
      </w:r>
      <w:r w:rsidR="00692DE8" w:rsidRPr="00692DE8">
        <w:rPr>
          <w:lang w:val="sr-Latn-RS"/>
        </w:rPr>
        <w:t xml:space="preserve">ereni na </w:t>
      </w:r>
      <w:r w:rsidR="001F027B">
        <w:rPr>
          <w:lang w:val="sr-Latn-RS"/>
        </w:rPr>
        <w:t xml:space="preserve">razvoj </w:t>
      </w:r>
      <w:r w:rsidR="00692DE8" w:rsidRPr="00692DE8">
        <w:rPr>
          <w:lang w:val="sr-Latn-RS"/>
        </w:rPr>
        <w:t>kompetencij</w:t>
      </w:r>
      <w:r w:rsidR="001F027B">
        <w:rPr>
          <w:lang w:val="sr-Latn-RS"/>
        </w:rPr>
        <w:t>a</w:t>
      </w:r>
      <w:r w:rsidR="00692DE8" w:rsidRPr="00692DE8">
        <w:rPr>
          <w:lang w:val="sr-Latn-RS"/>
        </w:rPr>
        <w:t xml:space="preserve"> </w:t>
      </w:r>
      <w:r w:rsidR="00F82AF5">
        <w:rPr>
          <w:lang w:val="sr-Latn-RS"/>
        </w:rPr>
        <w:t xml:space="preserve">nastavnika </w:t>
      </w:r>
      <w:r w:rsidR="00344A1D">
        <w:rPr>
          <w:lang w:val="sr-Latn-RS"/>
        </w:rPr>
        <w:t xml:space="preserve">kako </w:t>
      </w:r>
      <w:r w:rsidR="00692DE8" w:rsidRPr="00692DE8">
        <w:rPr>
          <w:lang w:val="sr-Latn-RS"/>
        </w:rPr>
        <w:t>u inicijalno</w:t>
      </w:r>
      <w:r w:rsidR="00F82AF5">
        <w:rPr>
          <w:lang w:val="sr-Latn-RS"/>
        </w:rPr>
        <w:t>m obrazovanju</w:t>
      </w:r>
      <w:r w:rsidR="00692DE8" w:rsidRPr="00692DE8">
        <w:rPr>
          <w:lang w:val="sr-Latn-RS"/>
        </w:rPr>
        <w:t xml:space="preserve"> </w:t>
      </w:r>
      <w:r w:rsidR="00344A1D">
        <w:rPr>
          <w:lang w:val="sr-Latn-RS"/>
        </w:rPr>
        <w:t xml:space="preserve">tako </w:t>
      </w:r>
      <w:r w:rsidR="00692DE8" w:rsidRPr="00692DE8">
        <w:rPr>
          <w:lang w:val="sr-Latn-RS"/>
        </w:rPr>
        <w:t>i kon</w:t>
      </w:r>
      <w:r w:rsidR="00F82AF5">
        <w:rPr>
          <w:lang w:val="sr-Latn-RS"/>
        </w:rPr>
        <w:t>tinuiranom profesionaln</w:t>
      </w:r>
      <w:r w:rsidR="008A0BF8">
        <w:rPr>
          <w:lang w:val="sr-Latn-RS"/>
        </w:rPr>
        <w:t>o</w:t>
      </w:r>
      <w:r w:rsidR="00F82AF5">
        <w:rPr>
          <w:lang w:val="sr-Latn-RS"/>
        </w:rPr>
        <w:t>m usavršavanju</w:t>
      </w:r>
      <w:r w:rsidR="00692DE8" w:rsidRPr="00692DE8">
        <w:rPr>
          <w:lang w:val="sr-Latn-RS"/>
        </w:rPr>
        <w:t xml:space="preserve"> </w:t>
      </w:r>
      <w:r w:rsidR="00344A1D">
        <w:rPr>
          <w:lang w:val="sr-Latn-RS"/>
        </w:rPr>
        <w:t>tokom rada</w:t>
      </w:r>
      <w:r w:rsidR="00F82AF5">
        <w:rPr>
          <w:lang w:val="sr-Latn-RS"/>
        </w:rPr>
        <w:t>. Da bi se ovaj stu</w:t>
      </w:r>
      <w:r w:rsidR="00344A1D">
        <w:rPr>
          <w:lang w:val="sr-Latn-RS"/>
        </w:rPr>
        <w:t xml:space="preserve">b </w:t>
      </w:r>
      <w:r w:rsidR="00F82AF5">
        <w:rPr>
          <w:lang w:val="sr-Latn-RS"/>
        </w:rPr>
        <w:t>u potpunosti ostvario, neophodne su</w:t>
      </w:r>
      <w:r w:rsidR="00344A1D">
        <w:rPr>
          <w:lang w:val="sr-Latn-RS"/>
        </w:rPr>
        <w:t xml:space="preserve"> intervencije u okviru studijskih</w:t>
      </w:r>
      <w:r w:rsidR="00F82AF5">
        <w:rPr>
          <w:lang w:val="sr-Latn-RS"/>
        </w:rPr>
        <w:t xml:space="preserve"> univerzitetskih programa</w:t>
      </w:r>
      <w:r w:rsidR="00400ED7">
        <w:rPr>
          <w:lang w:val="sr-Latn-RS"/>
        </w:rPr>
        <w:t xml:space="preserve">, odnosno  </w:t>
      </w:r>
      <w:r w:rsidR="00400ED7" w:rsidRPr="00692DE8">
        <w:rPr>
          <w:lang w:val="sr-Latn-RS"/>
        </w:rPr>
        <w:t xml:space="preserve">inoviranje </w:t>
      </w:r>
      <w:r w:rsidR="00344A1D" w:rsidRPr="00344A1D">
        <w:rPr>
          <w:lang w:val="sr-Latn-RS"/>
        </w:rPr>
        <w:t xml:space="preserve">pedagoško-psiholoških </w:t>
      </w:r>
      <w:r w:rsidR="00F409DE">
        <w:rPr>
          <w:lang w:val="sr-Latn-RS"/>
        </w:rPr>
        <w:t xml:space="preserve"> i </w:t>
      </w:r>
      <w:r w:rsidR="00344A1D" w:rsidRPr="00344A1D">
        <w:rPr>
          <w:lang w:val="sr-Latn-RS"/>
        </w:rPr>
        <w:t xml:space="preserve">didaktičko-metodičkih </w:t>
      </w:r>
      <w:r w:rsidR="008A0BF8">
        <w:rPr>
          <w:lang w:val="sr-Latn-RS"/>
        </w:rPr>
        <w:t>predmeta veštinama i znanjem o razvoju ključnih kompetencija</w:t>
      </w:r>
      <w:r w:rsidR="00400ED7">
        <w:rPr>
          <w:lang w:val="sr-Latn-RS"/>
        </w:rPr>
        <w:t xml:space="preserve">. </w:t>
      </w:r>
      <w:r w:rsidR="00F94BF7">
        <w:rPr>
          <w:lang w:val="sr-Latn-RS"/>
        </w:rPr>
        <w:t xml:space="preserve">Nalazi on lajn upitnika i fokus grupe nastavnika u okviru </w:t>
      </w:r>
      <w:r w:rsidR="00344A1D">
        <w:rPr>
          <w:lang w:val="sr-Latn-RS"/>
        </w:rPr>
        <w:t>P</w:t>
      </w:r>
      <w:r w:rsidR="00F94BF7">
        <w:rPr>
          <w:lang w:val="sr-Latn-RS"/>
        </w:rPr>
        <w:t>rojekta je potkrepio nedostatnost ovih sadržaja u formalnom obrazovanju budućih nastavnika. Preporuke Okvira zajedno sa Akcionim planom</w:t>
      </w:r>
      <w:r w:rsidR="00400ED7">
        <w:rPr>
          <w:lang w:val="sr-Latn-RS"/>
        </w:rPr>
        <w:t xml:space="preserve"> poslednje Strategije </w:t>
      </w:r>
      <w:r w:rsidR="00400ED7" w:rsidRPr="00692DE8">
        <w:rPr>
          <w:lang w:val="sr-Latn-RS"/>
        </w:rPr>
        <w:t>obra</w:t>
      </w:r>
      <w:r w:rsidR="00400ED7">
        <w:rPr>
          <w:lang w:val="sr-Latn-RS"/>
        </w:rPr>
        <w:t>zovanja nastavnika u Crnoj Gori do 2024.</w:t>
      </w:r>
      <w:r w:rsidR="00F409DE">
        <w:rPr>
          <w:lang w:val="sr-Latn-RS"/>
        </w:rPr>
        <w:t>godine</w:t>
      </w:r>
      <w:r w:rsidR="00400ED7">
        <w:rPr>
          <w:lang w:val="sr-Latn-RS"/>
        </w:rPr>
        <w:t xml:space="preserve"> </w:t>
      </w:r>
      <w:r w:rsidR="00F94BF7">
        <w:rPr>
          <w:lang w:val="sr-Latn-RS"/>
        </w:rPr>
        <w:t xml:space="preserve">predstavljaju platformu za </w:t>
      </w:r>
      <w:r w:rsidR="008A0BF8">
        <w:rPr>
          <w:lang w:val="sr-Latn-RS"/>
        </w:rPr>
        <w:t>intervenciju u okviru univerzitetskog obrazovanja.</w:t>
      </w:r>
      <w:r w:rsidR="001F027B">
        <w:rPr>
          <w:lang w:val="sr-Latn-RS"/>
        </w:rPr>
        <w:t xml:space="preserve"> </w:t>
      </w:r>
      <w:r w:rsidR="001F027B" w:rsidRPr="00930348">
        <w:rPr>
          <w:lang w:val="sr-Latn-RS"/>
        </w:rPr>
        <w:t xml:space="preserve">Izgradnju kapaciteta u okviru intervencije u inicijalnom obrazovanju Projekat obezbeđuje angažmanom stručnjka koji će raditi zajedno sa predstavnicima univirziteta na inoviranju programa i </w:t>
      </w:r>
      <w:r w:rsidR="004A3EAC" w:rsidRPr="00930348">
        <w:rPr>
          <w:lang w:val="sr-Latn-RS"/>
        </w:rPr>
        <w:t xml:space="preserve">razradi mogućeg </w:t>
      </w:r>
      <w:r w:rsidR="001F027B" w:rsidRPr="00930348">
        <w:rPr>
          <w:lang w:val="sr-Latn-RS"/>
        </w:rPr>
        <w:t>dodavanj</w:t>
      </w:r>
      <w:r w:rsidR="004A3EAC" w:rsidRPr="00930348">
        <w:rPr>
          <w:lang w:val="sr-Latn-RS"/>
        </w:rPr>
        <w:t>a</w:t>
      </w:r>
      <w:r w:rsidR="001F027B" w:rsidRPr="00930348">
        <w:rPr>
          <w:lang w:val="sr-Latn-RS"/>
        </w:rPr>
        <w:t xml:space="preserve"> prakse teorijskom obrazovanju </w:t>
      </w:r>
      <w:r w:rsidR="004A3EAC" w:rsidRPr="00930348">
        <w:rPr>
          <w:lang w:val="sr-Latn-RS"/>
        </w:rPr>
        <w:t>putem osnivanja</w:t>
      </w:r>
      <w:r w:rsidR="001F027B" w:rsidRPr="00930348">
        <w:rPr>
          <w:lang w:val="sr-Latn-RS"/>
        </w:rPr>
        <w:t xml:space="preserve"> centre prakse („excelence cetre“) pri školama. </w:t>
      </w:r>
      <w:r w:rsidR="004A3EAC" w:rsidRPr="00930348">
        <w:rPr>
          <w:lang w:val="sr-Latn-RS"/>
        </w:rPr>
        <w:t>Ovaj predlog je došao od fokus grupa nastavnika.</w:t>
      </w:r>
      <w:r w:rsidR="004A3EAC">
        <w:rPr>
          <w:lang w:val="sr-Latn-RS"/>
        </w:rPr>
        <w:t xml:space="preserve"> </w:t>
      </w:r>
    </w:p>
    <w:p w14:paraId="041DBC24" w14:textId="095F9901" w:rsidR="00AB0982" w:rsidRDefault="00B531D4" w:rsidP="00B93E9A">
      <w:pPr>
        <w:spacing w:before="100" w:after="100" w:line="360" w:lineRule="auto"/>
        <w:jc w:val="both"/>
        <w:rPr>
          <w:lang w:val="sr-Latn-RS"/>
        </w:rPr>
      </w:pPr>
      <w:r w:rsidRPr="00050016">
        <w:rPr>
          <w:b/>
          <w:lang w:val="sr-Latn-RS"/>
        </w:rPr>
        <w:t>Četvrti metodološki stub</w:t>
      </w:r>
      <w:r>
        <w:rPr>
          <w:lang w:val="sr-Latn-RS"/>
        </w:rPr>
        <w:t xml:space="preserve"> odnosi se na razvoj programa obuke </w:t>
      </w:r>
      <w:r w:rsidR="00AB0982">
        <w:rPr>
          <w:lang w:val="sr-Latn-RS"/>
        </w:rPr>
        <w:t xml:space="preserve">prema potrebama koje su sami nastavnici izdvojili kao prioritetne u svojim odgovorima u okviru fokus grupa i onlajn upitnika. Sadržaj obuka prema preporukama analize odgovora nastavnika biće detaljno dat u okviru opisa </w:t>
      </w:r>
      <w:r w:rsidR="00091D79">
        <w:rPr>
          <w:lang w:val="sr-Latn-RS"/>
        </w:rPr>
        <w:t xml:space="preserve">sadržaja </w:t>
      </w:r>
      <w:r w:rsidR="00AB0982">
        <w:rPr>
          <w:lang w:val="sr-Latn-RS"/>
        </w:rPr>
        <w:t>obuk</w:t>
      </w:r>
      <w:r w:rsidR="00091D79">
        <w:rPr>
          <w:lang w:val="sr-Latn-RS"/>
        </w:rPr>
        <w:t>e</w:t>
      </w:r>
      <w:r w:rsidR="00AB0982">
        <w:rPr>
          <w:lang w:val="sr-Latn-RS"/>
        </w:rPr>
        <w:t xml:space="preserve"> za nastavnike. Nakon prve četvrtine projekta, kad je ova Analiza predstavljena Projektnom timu, globalna pandemija virusa Covid 19 je kao „</w:t>
      </w:r>
      <w:r w:rsidR="00AB0982" w:rsidRPr="00AB0982">
        <w:rPr>
          <w:i/>
          <w:lang w:val="sr-Latn-RS"/>
        </w:rPr>
        <w:t>force majeur</w:t>
      </w:r>
      <w:r w:rsidR="00AB0982">
        <w:rPr>
          <w:lang w:val="sr-Latn-RS"/>
        </w:rPr>
        <w:t xml:space="preserve">“ promenila planirani način realizacije obuka </w:t>
      </w:r>
      <w:r w:rsidR="00400542">
        <w:rPr>
          <w:lang w:val="sr-Latn-RS"/>
        </w:rPr>
        <w:t>u skladu sa važećim epidemiološkim uputstvima u Crnoj Gori. Adaptiranje na ove promene pretpostavilo je jedinu moguću opciju, a to je da se obuke provedu na daljinu.</w:t>
      </w:r>
    </w:p>
    <w:p w14:paraId="733BFCAF" w14:textId="181E0CD6" w:rsidR="00AB0982" w:rsidRDefault="00AB0982" w:rsidP="00B93E9A">
      <w:pPr>
        <w:spacing w:before="100" w:after="100" w:line="360" w:lineRule="auto"/>
        <w:jc w:val="both"/>
        <w:rPr>
          <w:lang w:val="sr-Latn-RS"/>
        </w:rPr>
      </w:pPr>
      <w:r w:rsidRPr="006C7E07">
        <w:rPr>
          <w:b/>
          <w:lang w:val="sr-Latn-RS"/>
        </w:rPr>
        <w:t>Koncept učenja na daljinu</w:t>
      </w:r>
      <w:r w:rsidRPr="00AB0982">
        <w:rPr>
          <w:lang w:val="sr-Latn-RS"/>
        </w:rPr>
        <w:t xml:space="preserve"> je postojao i pre informatičke ere, prema istoričarima </w:t>
      </w:r>
      <w:r w:rsidRPr="00AB0982">
        <w:rPr>
          <w:lang w:val="sr-Latn-RS"/>
        </w:rPr>
        <w:lastRenderedPageBreak/>
        <w:t>obrazovanja, ovaj koncept je star koliko i samo obrazovanje. Ipak, pr</w:t>
      </w:r>
      <w:r w:rsidR="00091D79">
        <w:rPr>
          <w:lang w:val="sr-Latn-RS"/>
        </w:rPr>
        <w:t>a</w:t>
      </w:r>
      <w:r w:rsidRPr="00AB0982">
        <w:rPr>
          <w:lang w:val="sr-Latn-RS"/>
        </w:rPr>
        <w:t>vi zamah i s</w:t>
      </w:r>
      <w:r w:rsidR="00091D79">
        <w:rPr>
          <w:lang w:val="sr-Latn-RS"/>
        </w:rPr>
        <w:t xml:space="preserve">truktuiranost učenja na daljinu dešava se od početka </w:t>
      </w:r>
      <w:r w:rsidR="00400542">
        <w:rPr>
          <w:lang w:val="sr-Latn-RS"/>
        </w:rPr>
        <w:t>XX veka kao dopisno obrazovanje</w:t>
      </w:r>
      <w:r w:rsidRPr="00AB0982">
        <w:rPr>
          <w:lang w:val="sr-Latn-RS"/>
        </w:rPr>
        <w:t>, programirano, multimedijalno i sl,  da bi pravu ekspanziju i omasovljenje doživeo sa informatičkom erom. Pre pojave interneta, modeli učenja na daljinu  provodili su se putem pisama, štampe, televizije, radio vezom, prenosnicima slike i zvuka (video i audio kas</w:t>
      </w:r>
      <w:r w:rsidR="003C7938">
        <w:rPr>
          <w:lang w:val="sr-Latn-RS"/>
        </w:rPr>
        <w:t>e</w:t>
      </w:r>
      <w:r w:rsidR="0085266C">
        <w:rPr>
          <w:lang w:val="sr-Latn-RS"/>
        </w:rPr>
        <w:t>te, CD-ovi).</w:t>
      </w:r>
      <w:r w:rsidRPr="00AB0982">
        <w:rPr>
          <w:lang w:val="sr-Latn-RS"/>
        </w:rPr>
        <w:t xml:space="preserve">  </w:t>
      </w:r>
      <w:r w:rsidR="0085266C">
        <w:rPr>
          <w:lang w:val="sr-Latn-RS"/>
        </w:rPr>
        <w:t>Imali su</w:t>
      </w:r>
      <w:r w:rsidRPr="00AB0982">
        <w:rPr>
          <w:lang w:val="sr-Latn-RS"/>
        </w:rPr>
        <w:t xml:space="preserve">  praktične i uspešne rezultate</w:t>
      </w:r>
      <w:r w:rsidR="0085266C">
        <w:rPr>
          <w:lang w:val="sr-Latn-RS"/>
        </w:rPr>
        <w:t xml:space="preserve"> pre svega zbog samousmerene prirode ovog vida učenja, motivisanog stvarnim potrebama</w:t>
      </w:r>
      <w:r w:rsidRPr="00AB0982">
        <w:rPr>
          <w:lang w:val="sr-Latn-RS"/>
        </w:rPr>
        <w:t xml:space="preserve">, većinom u oblasti neformalnog </w:t>
      </w:r>
      <w:r w:rsidR="0085266C">
        <w:rPr>
          <w:lang w:val="sr-Latn-RS"/>
        </w:rPr>
        <w:t xml:space="preserve">i </w:t>
      </w:r>
      <w:r w:rsidRPr="00AB0982">
        <w:rPr>
          <w:lang w:val="sr-Latn-RS"/>
        </w:rPr>
        <w:t>obrazovanja</w:t>
      </w:r>
      <w:r w:rsidR="0085266C">
        <w:rPr>
          <w:lang w:val="sr-Latn-RS"/>
        </w:rPr>
        <w:t xml:space="preserve"> odraslih</w:t>
      </w:r>
      <w:r w:rsidRPr="00AB0982">
        <w:rPr>
          <w:lang w:val="sr-Latn-RS"/>
        </w:rPr>
        <w:t>. U savremenom dobu, „on lajn“, „</w:t>
      </w:r>
      <w:r w:rsidR="00400542">
        <w:rPr>
          <w:lang w:val="sr-Latn-RS"/>
        </w:rPr>
        <w:t>e</w:t>
      </w:r>
      <w:r w:rsidRPr="00AB0982">
        <w:rPr>
          <w:lang w:val="sr-Latn-RS"/>
        </w:rPr>
        <w:t xml:space="preserve">lektronsko“ ili „učenje na mreži“ (on- line, E-Learning, web-based education) predstavlja jedan od važnih koncepata i mogućnosti koje pruža Internet. </w:t>
      </w:r>
      <w:r w:rsidR="00400542">
        <w:rPr>
          <w:lang w:val="sr-Latn-RS"/>
        </w:rPr>
        <w:t xml:space="preserve">Ovaj način postao je dominantan i </w:t>
      </w:r>
      <w:r w:rsidR="0085266C">
        <w:rPr>
          <w:lang w:val="sr-Latn-RS"/>
        </w:rPr>
        <w:t xml:space="preserve">globalan, i </w:t>
      </w:r>
      <w:r w:rsidR="00400542">
        <w:rPr>
          <w:lang w:val="sr-Latn-RS"/>
        </w:rPr>
        <w:t xml:space="preserve">verovatno će biti </w:t>
      </w:r>
      <w:r w:rsidRPr="00AB0982">
        <w:rPr>
          <w:lang w:val="sr-Latn-RS"/>
        </w:rPr>
        <w:t>jedini alat za učenje na daljinu u bliskoj budućnosti</w:t>
      </w:r>
      <w:r w:rsidR="00400542">
        <w:rPr>
          <w:lang w:val="sr-Latn-RS"/>
        </w:rPr>
        <w:t xml:space="preserve">, pogotovu usled </w:t>
      </w:r>
      <w:r w:rsidR="0023794D">
        <w:rPr>
          <w:lang w:val="sr-Latn-RS"/>
        </w:rPr>
        <w:t xml:space="preserve">omasovljenja njegove primene </w:t>
      </w:r>
      <w:r w:rsidR="0085266C">
        <w:rPr>
          <w:lang w:val="sr-Latn-RS"/>
        </w:rPr>
        <w:t>i u formalnom obrazovanju usled</w:t>
      </w:r>
      <w:r w:rsidR="00400542">
        <w:rPr>
          <w:lang w:val="sr-Latn-RS"/>
        </w:rPr>
        <w:t xml:space="preserve"> pandemije</w:t>
      </w:r>
      <w:r w:rsidRPr="00AB0982">
        <w:rPr>
          <w:lang w:val="sr-Latn-RS"/>
        </w:rPr>
        <w:t>. Elektronsko učenje, kao nova verzija učenja na daljinu, primenjuje se putem Internet tehnologija i uključuje obrazovne aktivnosti koje ne zahtevaju prisustvo nastavnika</w:t>
      </w:r>
      <w:r w:rsidR="0023794D">
        <w:rPr>
          <w:lang w:val="sr-Latn-RS"/>
        </w:rPr>
        <w:t>/metora/trenera</w:t>
      </w:r>
      <w:r w:rsidRPr="00AB0982">
        <w:rPr>
          <w:lang w:val="sr-Latn-RS"/>
        </w:rPr>
        <w:t xml:space="preserve"> i učenika</w:t>
      </w:r>
      <w:r w:rsidR="0023794D">
        <w:rPr>
          <w:lang w:val="sr-Latn-RS"/>
        </w:rPr>
        <w:t>/polaznika</w:t>
      </w:r>
      <w:r w:rsidRPr="00AB0982">
        <w:rPr>
          <w:lang w:val="sr-Latn-RS"/>
        </w:rPr>
        <w:t xml:space="preserve"> na </w:t>
      </w:r>
      <w:r w:rsidR="0023794D">
        <w:rPr>
          <w:lang w:val="sr-Latn-RS"/>
        </w:rPr>
        <w:t xml:space="preserve">jednom mestu, </w:t>
      </w:r>
      <w:r w:rsidR="006C7E07">
        <w:rPr>
          <w:lang w:val="sr-Latn-RS"/>
        </w:rPr>
        <w:t xml:space="preserve">koji ne </w:t>
      </w:r>
      <w:r w:rsidR="0023794D">
        <w:rPr>
          <w:lang w:val="sr-Latn-RS"/>
        </w:rPr>
        <w:t xml:space="preserve">moraju biti </w:t>
      </w:r>
      <w:r w:rsidR="006C7E07">
        <w:rPr>
          <w:lang w:val="sr-Latn-RS"/>
        </w:rPr>
        <w:t xml:space="preserve">prisutni </w:t>
      </w:r>
      <w:r w:rsidR="0023794D">
        <w:rPr>
          <w:lang w:val="sr-Latn-RS"/>
        </w:rPr>
        <w:t>istovremen</w:t>
      </w:r>
      <w:r w:rsidR="006C7E07">
        <w:rPr>
          <w:lang w:val="sr-Latn-RS"/>
        </w:rPr>
        <w:t>o</w:t>
      </w:r>
      <w:r w:rsidR="0023794D">
        <w:rPr>
          <w:lang w:val="sr-Latn-RS"/>
        </w:rPr>
        <w:t>. Sadržaj</w:t>
      </w:r>
      <w:r w:rsidR="006C7E07">
        <w:rPr>
          <w:lang w:val="sr-Latn-RS"/>
        </w:rPr>
        <w:t>i</w:t>
      </w:r>
      <w:r w:rsidR="0023794D">
        <w:rPr>
          <w:lang w:val="sr-Latn-RS"/>
        </w:rPr>
        <w:t xml:space="preserve"> učenja </w:t>
      </w:r>
      <w:r w:rsidR="006C7E07">
        <w:rPr>
          <w:lang w:val="sr-Latn-RS"/>
        </w:rPr>
        <w:t>variraju</w:t>
      </w:r>
      <w:r w:rsidR="0023794D">
        <w:rPr>
          <w:lang w:val="sr-Latn-RS"/>
        </w:rPr>
        <w:t xml:space="preserve"> od jednostavnih do veoma kompleksih,</w:t>
      </w:r>
      <w:r w:rsidR="001E7D2D">
        <w:rPr>
          <w:lang w:val="sr-Latn-RS"/>
        </w:rPr>
        <w:t xml:space="preserve"> a alati koji se koriste omogućavaju interaktivnost</w:t>
      </w:r>
      <w:r w:rsidR="0095403D">
        <w:rPr>
          <w:lang w:val="sr-Latn-RS"/>
        </w:rPr>
        <w:t xml:space="preserve"> (diskusione grupe</w:t>
      </w:r>
      <w:r w:rsidR="001E7D2D">
        <w:rPr>
          <w:lang w:val="sr-Latn-RS"/>
        </w:rPr>
        <w:t>,</w:t>
      </w:r>
      <w:r w:rsidR="0095403D">
        <w:rPr>
          <w:lang w:val="sr-Latn-RS"/>
        </w:rPr>
        <w:t xml:space="preserve"> „chat“),</w:t>
      </w:r>
      <w:r w:rsidR="005D32F2">
        <w:rPr>
          <w:lang w:val="sr-Latn-RS"/>
        </w:rPr>
        <w:t xml:space="preserve"> etapnost i</w:t>
      </w:r>
      <w:r w:rsidR="001E7D2D">
        <w:rPr>
          <w:lang w:val="sr-Latn-RS"/>
        </w:rPr>
        <w:t xml:space="preserve"> procesno učenje, što u potpunosti omogućava da se projektni zadaci koji se tiču izgradnje kapaciteta nastave bez obzira na ogran</w:t>
      </w:r>
      <w:r w:rsidR="006C7E07">
        <w:rPr>
          <w:lang w:val="sr-Latn-RS"/>
        </w:rPr>
        <w:t>ičenja uzrokovana pandemijom. E-učenje ne</w:t>
      </w:r>
      <w:r w:rsidR="006C7E07" w:rsidRPr="006C7E07">
        <w:rPr>
          <w:lang w:val="sr-Latn-RS"/>
        </w:rPr>
        <w:t xml:space="preserve"> zahteva nikakve troškove </w:t>
      </w:r>
      <w:r w:rsidR="0095403D">
        <w:rPr>
          <w:lang w:val="sr-Latn-RS"/>
        </w:rPr>
        <w:t>za</w:t>
      </w:r>
      <w:r w:rsidR="006C7E07" w:rsidRPr="006C7E07">
        <w:rPr>
          <w:lang w:val="sr-Latn-RS"/>
        </w:rPr>
        <w:t xml:space="preserve"> prevoz ili smeštaj. Budući da je proces </w:t>
      </w:r>
      <w:r w:rsidR="006C7E07">
        <w:rPr>
          <w:lang w:val="sr-Latn-RS"/>
        </w:rPr>
        <w:t>ovakvog učenja per se usmeren na onog koji uči (na učenika/polaznika usmereno učenje)</w:t>
      </w:r>
      <w:r w:rsidR="006C7E07" w:rsidRPr="006C7E07">
        <w:rPr>
          <w:lang w:val="sr-Latn-RS"/>
        </w:rPr>
        <w:t xml:space="preserve">, </w:t>
      </w:r>
      <w:r w:rsidR="006C7E07">
        <w:rPr>
          <w:lang w:val="sr-Latn-RS"/>
        </w:rPr>
        <w:t>on</w:t>
      </w:r>
      <w:r w:rsidR="006C7E07" w:rsidRPr="006C7E07">
        <w:rPr>
          <w:lang w:val="sr-Latn-RS"/>
        </w:rPr>
        <w:t xml:space="preserve"> omogućava </w:t>
      </w:r>
      <w:r w:rsidR="0095403D">
        <w:rPr>
          <w:lang w:val="sr-Latn-RS"/>
        </w:rPr>
        <w:t xml:space="preserve">samom učesniku </w:t>
      </w:r>
      <w:r w:rsidR="0085266C">
        <w:rPr>
          <w:lang w:val="sr-Latn-RS"/>
        </w:rPr>
        <w:t xml:space="preserve">obrazovanaja </w:t>
      </w:r>
      <w:r w:rsidR="0095403D">
        <w:rPr>
          <w:lang w:val="sr-Latn-RS"/>
        </w:rPr>
        <w:t>da planira</w:t>
      </w:r>
      <w:r w:rsidR="0095403D" w:rsidRPr="006C7E07">
        <w:rPr>
          <w:lang w:val="sr-Latn-RS"/>
        </w:rPr>
        <w:t xml:space="preserve"> </w:t>
      </w:r>
      <w:r w:rsidR="0095403D">
        <w:rPr>
          <w:lang w:val="sr-Latn-RS"/>
        </w:rPr>
        <w:t xml:space="preserve">učenje, da </w:t>
      </w:r>
      <w:r w:rsidR="006C7E07" w:rsidRPr="006C7E07">
        <w:rPr>
          <w:lang w:val="sr-Latn-RS"/>
        </w:rPr>
        <w:t xml:space="preserve">odredi </w:t>
      </w:r>
      <w:r w:rsidR="0095403D" w:rsidRPr="006C7E07">
        <w:rPr>
          <w:lang w:val="sr-Latn-RS"/>
        </w:rPr>
        <w:t xml:space="preserve">i usmeri svoj vlastiti </w:t>
      </w:r>
      <w:r w:rsidR="0095403D">
        <w:rPr>
          <w:lang w:val="sr-Latn-RS"/>
        </w:rPr>
        <w:t xml:space="preserve">stil i </w:t>
      </w:r>
      <w:r w:rsidR="006C7E07" w:rsidRPr="006C7E07">
        <w:rPr>
          <w:lang w:val="sr-Latn-RS"/>
        </w:rPr>
        <w:t>preuz</w:t>
      </w:r>
      <w:r w:rsidR="0085266C">
        <w:rPr>
          <w:lang w:val="sr-Latn-RS"/>
        </w:rPr>
        <w:t xml:space="preserve">me odgovornost za svoje učenje.  </w:t>
      </w:r>
      <w:r w:rsidR="0023794D">
        <w:rPr>
          <w:lang w:val="sr-Latn-RS"/>
        </w:rPr>
        <w:t xml:space="preserve"> </w:t>
      </w:r>
    </w:p>
    <w:p w14:paraId="1209D853" w14:textId="77777777" w:rsidR="00E262BF" w:rsidRDefault="00E262BF" w:rsidP="00050016">
      <w:pPr>
        <w:spacing w:before="100" w:after="100" w:line="360" w:lineRule="auto"/>
        <w:jc w:val="both"/>
        <w:rPr>
          <w:b/>
          <w:lang w:val="sr-Latn-RS"/>
        </w:rPr>
      </w:pPr>
    </w:p>
    <w:p w14:paraId="0341547C" w14:textId="0513ABC6" w:rsidR="007D59AA" w:rsidRPr="00CC3CC1" w:rsidRDefault="00E262BF" w:rsidP="00050016">
      <w:pPr>
        <w:spacing w:before="100" w:after="100" w:line="360" w:lineRule="auto"/>
        <w:jc w:val="both"/>
        <w:rPr>
          <w:rFonts w:eastAsia="Times New Roman" w:cs="Times New Roman"/>
          <w:b/>
          <w:color w:val="FABF8F" w:themeColor="accent6" w:themeTint="99"/>
          <w:sz w:val="24"/>
          <w:szCs w:val="24"/>
          <w:lang w:val="hr-HR" w:eastAsia="en-US" w:bidi="ar-SA"/>
        </w:rPr>
      </w:pPr>
      <w:r w:rsidRPr="00E262BF">
        <w:rPr>
          <w:rFonts w:eastAsia="Times New Roman" w:cs="Times New Roman"/>
          <w:b/>
          <w:color w:val="7A2021"/>
          <w:sz w:val="24"/>
          <w:szCs w:val="24"/>
          <w:lang w:val="hr-HR" w:eastAsia="en-US" w:bidi="ar-SA"/>
        </w:rPr>
        <w:t xml:space="preserve">Izgradnja kapaciteta </w:t>
      </w:r>
      <w:r>
        <w:rPr>
          <w:rFonts w:eastAsia="Times New Roman" w:cs="Times New Roman"/>
          <w:b/>
          <w:color w:val="7A2021"/>
          <w:sz w:val="24"/>
          <w:szCs w:val="24"/>
          <w:lang w:val="hr-HR" w:eastAsia="en-US" w:bidi="ar-SA"/>
        </w:rPr>
        <w:t xml:space="preserve">Projektnog tima i radnih grupa </w:t>
      </w:r>
      <w:r w:rsidRPr="00CC3CC1">
        <w:rPr>
          <w:rFonts w:eastAsia="Times New Roman" w:cs="Times New Roman"/>
          <w:b/>
          <w:color w:val="FABF8F" w:themeColor="accent6" w:themeTint="99"/>
          <w:sz w:val="24"/>
          <w:szCs w:val="24"/>
          <w:lang w:val="hr-HR" w:eastAsia="en-US" w:bidi="ar-SA"/>
        </w:rPr>
        <w:t>vezano za izradu strateških dokumenata</w:t>
      </w:r>
    </w:p>
    <w:p w14:paraId="1024FAA1" w14:textId="251B2625" w:rsidR="00413BD5" w:rsidRDefault="00E262BF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U toku početne faze uspostavljen</w:t>
      </w:r>
      <w:r w:rsidR="00CC3CC1">
        <w:rPr>
          <w:lang w:val="sr-Latn-RS"/>
        </w:rPr>
        <w:t>a su radna tela sastavljena od</w:t>
      </w:r>
      <w:r>
        <w:rPr>
          <w:lang w:val="sr-Latn-RS"/>
        </w:rPr>
        <w:t xml:space="preserve"> grup</w:t>
      </w:r>
      <w:r w:rsidR="00CC3CC1">
        <w:rPr>
          <w:lang w:val="sr-Latn-RS"/>
        </w:rPr>
        <w:t>a</w:t>
      </w:r>
      <w:r>
        <w:rPr>
          <w:lang w:val="sr-Latn-RS"/>
        </w:rPr>
        <w:t xml:space="preserve"> pojedinica delegiranih </w:t>
      </w:r>
      <w:r w:rsidR="002D1AA0">
        <w:rPr>
          <w:lang w:val="sr-Latn-RS"/>
        </w:rPr>
        <w:t>od institucija korisnica projektne pomoći koji su ključne važnosti za davanje smernica u realizaciji Projektnih zadataka</w:t>
      </w:r>
      <w:r w:rsidR="00413BD5">
        <w:rPr>
          <w:lang w:val="sr-Latn-RS"/>
        </w:rPr>
        <w:t xml:space="preserve">. </w:t>
      </w:r>
    </w:p>
    <w:p w14:paraId="3471E7AB" w14:textId="71DAFE45" w:rsidR="005F73C3" w:rsidRDefault="00413BD5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 xml:space="preserve">Projektni tim je glavno </w:t>
      </w:r>
      <w:r w:rsidR="005F73C3">
        <w:rPr>
          <w:lang w:val="sr-Latn-RS"/>
        </w:rPr>
        <w:t xml:space="preserve">implementacijsko </w:t>
      </w:r>
      <w:r>
        <w:rPr>
          <w:lang w:val="sr-Latn-RS"/>
        </w:rPr>
        <w:t>telo</w:t>
      </w:r>
      <w:r w:rsidR="002D1AA0">
        <w:rPr>
          <w:lang w:val="sr-Latn-RS"/>
        </w:rPr>
        <w:t xml:space="preserve"> </w:t>
      </w:r>
      <w:r>
        <w:rPr>
          <w:lang w:val="sr-Latn-RS"/>
        </w:rPr>
        <w:t xml:space="preserve">za </w:t>
      </w:r>
      <w:r w:rsidR="002D1AA0">
        <w:rPr>
          <w:lang w:val="sr-Latn-RS"/>
        </w:rPr>
        <w:t>donošenju odluka o strukturi i sadržaju starateških dokumenata</w:t>
      </w:r>
      <w:r>
        <w:rPr>
          <w:lang w:val="sr-Latn-RS"/>
        </w:rPr>
        <w:t xml:space="preserve">, izboru škola i njihovih predstavnika u aktivnostima projekta, odobravanju obuka, i uopšteno, adaptiranju preporuka ekspertskog tima projekta prema potrebama, iskustvu i kapacitetima korisnika. </w:t>
      </w:r>
      <w:r w:rsidR="005F73C3">
        <w:rPr>
          <w:lang w:val="sr-Latn-RS"/>
        </w:rPr>
        <w:t>Fokus Projektnog tima je da u</w:t>
      </w:r>
      <w:r w:rsidR="005F73C3" w:rsidRPr="005F73C3">
        <w:rPr>
          <w:lang w:val="sr-Latn-RS"/>
        </w:rPr>
        <w:t>tvrđuje metode i dinamiku implementacije</w:t>
      </w:r>
      <w:r w:rsidR="005F73C3">
        <w:rPr>
          <w:lang w:val="sr-Latn-RS"/>
        </w:rPr>
        <w:t>, o</w:t>
      </w:r>
      <w:r w:rsidR="005F73C3" w:rsidRPr="005F73C3">
        <w:rPr>
          <w:lang w:val="sr-Latn-RS"/>
        </w:rPr>
        <w:t>sigurava blagovremenu uključenost korisnika</w:t>
      </w:r>
      <w:r w:rsidR="005F73C3">
        <w:rPr>
          <w:lang w:val="sr-Latn-RS"/>
        </w:rPr>
        <w:t xml:space="preserve">, </w:t>
      </w:r>
      <w:r w:rsidR="00DE7C92">
        <w:rPr>
          <w:lang w:val="sr-Latn-RS"/>
        </w:rPr>
        <w:t>i</w:t>
      </w:r>
      <w:r w:rsidR="005F73C3" w:rsidRPr="005F73C3">
        <w:rPr>
          <w:lang w:val="sr-Latn-RS"/>
        </w:rPr>
        <w:t>nformi</w:t>
      </w:r>
      <w:r w:rsidR="005F73C3">
        <w:rPr>
          <w:lang w:val="sr-Latn-RS"/>
        </w:rPr>
        <w:t>še</w:t>
      </w:r>
      <w:r w:rsidR="005F73C3" w:rsidRPr="005F73C3">
        <w:rPr>
          <w:lang w:val="sr-Latn-RS"/>
        </w:rPr>
        <w:t xml:space="preserve"> procese lokalnim znanjem</w:t>
      </w:r>
      <w:r w:rsidR="005F73C3">
        <w:rPr>
          <w:lang w:val="sr-Latn-RS"/>
        </w:rPr>
        <w:t xml:space="preserve">, </w:t>
      </w:r>
      <w:r w:rsidR="00516D80">
        <w:rPr>
          <w:lang w:val="sr-Latn-RS"/>
        </w:rPr>
        <w:t>o</w:t>
      </w:r>
      <w:r w:rsidR="005F73C3">
        <w:rPr>
          <w:lang w:val="sr-Latn-RS"/>
        </w:rPr>
        <w:t>dobrava</w:t>
      </w:r>
      <w:r w:rsidR="00E85592">
        <w:rPr>
          <w:lang w:val="sr-Latn-RS"/>
        </w:rPr>
        <w:t xml:space="preserve"> pr</w:t>
      </w:r>
      <w:r w:rsidR="005F73C3" w:rsidRPr="005F73C3">
        <w:rPr>
          <w:lang w:val="sr-Latn-RS"/>
        </w:rPr>
        <w:t xml:space="preserve">edloge </w:t>
      </w:r>
      <w:r w:rsidR="005F73C3">
        <w:rPr>
          <w:lang w:val="sr-Latn-RS"/>
        </w:rPr>
        <w:t>i o</w:t>
      </w:r>
      <w:r w:rsidR="005F73C3" w:rsidRPr="005F73C3">
        <w:rPr>
          <w:lang w:val="sr-Latn-RS"/>
        </w:rPr>
        <w:t>sigurava implementaciju i održivost</w:t>
      </w:r>
      <w:r w:rsidR="00516D80">
        <w:rPr>
          <w:lang w:val="sr-Latn-RS"/>
        </w:rPr>
        <w:t>.</w:t>
      </w:r>
    </w:p>
    <w:p w14:paraId="3FAF7613" w14:textId="6F4D6BD5" w:rsidR="00AB5F42" w:rsidRDefault="00413BD5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 xml:space="preserve">U prvoj četvrtini rada projekta, </w:t>
      </w:r>
      <w:r w:rsidR="00DE7C92">
        <w:rPr>
          <w:lang w:val="sr-Latn-RS"/>
        </w:rPr>
        <w:t xml:space="preserve">predviđena su i održana </w:t>
      </w:r>
      <w:r>
        <w:rPr>
          <w:lang w:val="sr-Latn-RS"/>
        </w:rPr>
        <w:t xml:space="preserve">dva seminara po dva dana </w:t>
      </w:r>
      <w:r w:rsidR="00AB5F42">
        <w:rPr>
          <w:lang w:val="sr-Latn-RS"/>
        </w:rPr>
        <w:t>gde su razmenjena dragocena iskustva</w:t>
      </w:r>
      <w:r w:rsidR="00DE7C92">
        <w:rPr>
          <w:lang w:val="sr-Latn-RS"/>
        </w:rPr>
        <w:t xml:space="preserve"> o razvoju ključnih kompetencija u zemljama u regionu, </w:t>
      </w:r>
      <w:r w:rsidR="00DE7C92">
        <w:rPr>
          <w:lang w:val="sr-Latn-RS"/>
        </w:rPr>
        <w:lastRenderedPageBreak/>
        <w:t xml:space="preserve">evropskim preporukama i usaglašena dinamika procesnog rada </w:t>
      </w:r>
      <w:r w:rsidR="00AB5F42">
        <w:rPr>
          <w:lang w:val="sr-Latn-RS"/>
        </w:rPr>
        <w:t xml:space="preserve">u vezi izbora kompetencija, strukture i sadržaja Crnogorskog okvira. </w:t>
      </w:r>
    </w:p>
    <w:p w14:paraId="1B93F963" w14:textId="082EBF92" w:rsidR="00A66451" w:rsidRPr="00A66451" w:rsidRDefault="00AB5F42" w:rsidP="00B93E9A">
      <w:pPr>
        <w:spacing w:before="100" w:after="100" w:line="360" w:lineRule="auto"/>
        <w:jc w:val="both"/>
        <w:rPr>
          <w:lang w:val="hr-HR"/>
        </w:rPr>
      </w:pPr>
      <w:r>
        <w:rPr>
          <w:lang w:val="sr-Latn-RS"/>
        </w:rPr>
        <w:t xml:space="preserve">Projektni tim je delegirao pojedince, takođe iz institucija korisnika, u </w:t>
      </w:r>
      <w:r w:rsidR="00A66451">
        <w:rPr>
          <w:lang w:val="sr-Latn-RS"/>
        </w:rPr>
        <w:t xml:space="preserve">četiri </w:t>
      </w:r>
      <w:r>
        <w:rPr>
          <w:lang w:val="sr-Latn-RS"/>
        </w:rPr>
        <w:t>radne grupe koje su radile na pojedinačnom razvoju ishoda kompetencija</w:t>
      </w:r>
      <w:r w:rsidR="00A66451">
        <w:rPr>
          <w:lang w:val="sr-Latn-RS"/>
        </w:rPr>
        <w:t>, svaka grupa po dve kompetencije.</w:t>
      </w:r>
      <w:r>
        <w:rPr>
          <w:lang w:val="sr-Latn-RS"/>
        </w:rPr>
        <w:t xml:space="preserve"> </w:t>
      </w:r>
      <w:r w:rsidR="00A66451">
        <w:rPr>
          <w:lang w:val="sr-Latn-RS"/>
        </w:rPr>
        <w:t>Ove grupe su imale zadatak da formulišu c</w:t>
      </w:r>
      <w:r w:rsidR="00A66451" w:rsidRPr="00A66451">
        <w:rPr>
          <w:lang w:val="hr-HR"/>
        </w:rPr>
        <w:t>iljeve i ishode uč</w:t>
      </w:r>
      <w:r w:rsidR="00A66451">
        <w:rPr>
          <w:lang w:val="hr-HR"/>
        </w:rPr>
        <w:t>enja po obrazovnim nivoima.</w:t>
      </w:r>
      <w:r w:rsidR="00DE7C92">
        <w:rPr>
          <w:lang w:val="hr-HR"/>
        </w:rPr>
        <w:t xml:space="preserve"> Tabelarno su prikazane aktivnosti i teme:</w:t>
      </w:r>
    </w:p>
    <w:p w14:paraId="1E019010" w14:textId="77777777" w:rsidR="00A66451" w:rsidRDefault="00A66451" w:rsidP="002D1AA0">
      <w:pPr>
        <w:spacing w:before="100" w:after="100" w:line="276" w:lineRule="auto"/>
        <w:jc w:val="both"/>
        <w:rPr>
          <w:lang w:val="sr-Latn-RS"/>
        </w:rPr>
      </w:pPr>
    </w:p>
    <w:tbl>
      <w:tblPr>
        <w:tblStyle w:val="TableGrid"/>
        <w:tblW w:w="9072" w:type="dxa"/>
        <w:tblInd w:w="85" w:type="dxa"/>
        <w:tblBorders>
          <w:top w:val="single" w:sz="4" w:space="0" w:color="7A2021"/>
          <w:left w:val="single" w:sz="4" w:space="0" w:color="7A2021"/>
          <w:bottom w:val="single" w:sz="4" w:space="0" w:color="7A2021"/>
          <w:right w:val="single" w:sz="4" w:space="0" w:color="7A2021"/>
          <w:insideH w:val="single" w:sz="4" w:space="0" w:color="7A2021"/>
          <w:insideV w:val="single" w:sz="4" w:space="0" w:color="7A2021"/>
        </w:tblBorders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4536"/>
        <w:gridCol w:w="4536"/>
      </w:tblGrid>
      <w:tr w:rsidR="003637F7" w:rsidRPr="003637F7" w14:paraId="438C76CB" w14:textId="77777777" w:rsidTr="00C74B1D">
        <w:trPr>
          <w:tblHeader/>
        </w:trPr>
        <w:tc>
          <w:tcPr>
            <w:tcW w:w="4536" w:type="dxa"/>
            <w:tcBorders>
              <w:top w:val="single" w:sz="4" w:space="0" w:color="FFFFFF" w:themeColor="background1"/>
              <w:left w:val="single" w:sz="4" w:space="0" w:color="DDD9C3"/>
              <w:right w:val="single" w:sz="4" w:space="0" w:color="FFFFFF" w:themeColor="background1"/>
            </w:tcBorders>
            <w:shd w:val="clear" w:color="auto" w:fill="7A2021"/>
          </w:tcPr>
          <w:p w14:paraId="44EFE8CC" w14:textId="2BC7FE67" w:rsidR="003637F7" w:rsidRPr="003637F7" w:rsidRDefault="005F73C3" w:rsidP="003637F7">
            <w:pPr>
              <w:spacing w:before="100" w:after="100" w:line="276" w:lineRule="auto"/>
              <w:jc w:val="both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Projektni tim </w:t>
            </w:r>
          </w:p>
        </w:tc>
        <w:tc>
          <w:tcPr>
            <w:tcW w:w="453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A2021"/>
          </w:tcPr>
          <w:p w14:paraId="42C2BAFE" w14:textId="2EE2529C" w:rsidR="003637F7" w:rsidRPr="003637F7" w:rsidRDefault="005F73C3" w:rsidP="003637F7">
            <w:pPr>
              <w:spacing w:before="100" w:after="100" w:line="276" w:lineRule="auto"/>
              <w:jc w:val="both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Radne grupe </w:t>
            </w:r>
          </w:p>
        </w:tc>
      </w:tr>
      <w:tr w:rsidR="003637F7" w:rsidRPr="003637F7" w14:paraId="01717116" w14:textId="77777777" w:rsidTr="00C74B1D">
        <w:tc>
          <w:tcPr>
            <w:tcW w:w="4536" w:type="dxa"/>
          </w:tcPr>
          <w:p w14:paraId="7EB61F63" w14:textId="77777777" w:rsidR="003637F7" w:rsidRPr="003637F7" w:rsidRDefault="003637F7" w:rsidP="00516D80">
            <w:pPr>
              <w:numPr>
                <w:ilvl w:val="0"/>
                <w:numId w:val="24"/>
              </w:numPr>
              <w:spacing w:before="100" w:after="100" w:line="276" w:lineRule="auto"/>
              <w:rPr>
                <w:b/>
                <w:lang w:val="hr-HR"/>
              </w:rPr>
            </w:pPr>
            <w:r w:rsidRPr="003637F7">
              <w:rPr>
                <w:b/>
                <w:lang w:val="hr-HR"/>
              </w:rPr>
              <w:t>sastanak:</w:t>
            </w:r>
          </w:p>
          <w:p w14:paraId="4FBA5E82" w14:textId="3D3C6601" w:rsidR="005F73C3" w:rsidRPr="005F73C3" w:rsidRDefault="005F73C3" w:rsidP="00516D80">
            <w:pPr>
              <w:numPr>
                <w:ilvl w:val="0"/>
                <w:numId w:val="21"/>
              </w:numPr>
              <w:spacing w:before="100" w:after="100" w:line="276" w:lineRule="auto"/>
              <w:rPr>
                <w:lang w:val="hr-HR"/>
              </w:rPr>
            </w:pPr>
            <w:r w:rsidRPr="005F73C3">
              <w:rPr>
                <w:lang w:val="hr-HR"/>
              </w:rPr>
              <w:t>Konstituis</w:t>
            </w:r>
            <w:r>
              <w:rPr>
                <w:lang w:val="hr-HR"/>
              </w:rPr>
              <w:t>anje Projektnog</w:t>
            </w:r>
            <w:r w:rsidRPr="005F73C3">
              <w:rPr>
                <w:lang w:val="hr-HR"/>
              </w:rPr>
              <w:t xml:space="preserve"> tim</w:t>
            </w:r>
            <w:r>
              <w:rPr>
                <w:lang w:val="hr-HR"/>
              </w:rPr>
              <w:t>a</w:t>
            </w:r>
            <w:r w:rsidRPr="005F73C3">
              <w:rPr>
                <w:lang w:val="hr-HR"/>
              </w:rPr>
              <w:t xml:space="preserve"> i metodologij</w:t>
            </w:r>
            <w:r>
              <w:rPr>
                <w:lang w:val="hr-HR"/>
              </w:rPr>
              <w:t>e</w:t>
            </w:r>
            <w:r w:rsidRPr="005F73C3">
              <w:rPr>
                <w:lang w:val="hr-HR"/>
              </w:rPr>
              <w:t xml:space="preserve"> rada;</w:t>
            </w:r>
          </w:p>
          <w:p w14:paraId="3BC8773F" w14:textId="63D24AE6" w:rsidR="005F73C3" w:rsidRPr="005F73C3" w:rsidRDefault="005F73C3" w:rsidP="00516D80">
            <w:pPr>
              <w:numPr>
                <w:ilvl w:val="0"/>
                <w:numId w:val="21"/>
              </w:numPr>
              <w:spacing w:before="100" w:after="100" w:line="276" w:lineRule="auto"/>
              <w:rPr>
                <w:lang w:val="hr-HR"/>
              </w:rPr>
            </w:pPr>
            <w:r w:rsidRPr="005F73C3">
              <w:rPr>
                <w:lang w:val="hr-HR"/>
              </w:rPr>
              <w:t>Definisa</w:t>
            </w:r>
            <w:r>
              <w:rPr>
                <w:lang w:val="hr-HR"/>
              </w:rPr>
              <w:t>nje</w:t>
            </w:r>
            <w:r w:rsidRPr="005F73C3">
              <w:rPr>
                <w:lang w:val="hr-HR"/>
              </w:rPr>
              <w:t xml:space="preserve"> ključn</w:t>
            </w:r>
            <w:r>
              <w:rPr>
                <w:lang w:val="hr-HR"/>
              </w:rPr>
              <w:t>ih</w:t>
            </w:r>
            <w:r w:rsidRPr="005F73C3">
              <w:rPr>
                <w:lang w:val="hr-HR"/>
              </w:rPr>
              <w:t xml:space="preserve"> kompetencij</w:t>
            </w:r>
            <w:r w:rsidR="00A66451">
              <w:rPr>
                <w:lang w:val="hr-HR"/>
              </w:rPr>
              <w:t>a</w:t>
            </w:r>
            <w:r w:rsidRPr="005F73C3">
              <w:rPr>
                <w:lang w:val="hr-HR"/>
              </w:rPr>
              <w:t xml:space="preserve"> za cjeloživotno učenje relevantn</w:t>
            </w:r>
            <w:r>
              <w:rPr>
                <w:lang w:val="hr-HR"/>
              </w:rPr>
              <w:t>ih</w:t>
            </w:r>
            <w:r w:rsidRPr="005F73C3">
              <w:rPr>
                <w:lang w:val="hr-HR"/>
              </w:rPr>
              <w:t xml:space="preserve"> za obrazovni sistem Crne Gore;</w:t>
            </w:r>
          </w:p>
          <w:p w14:paraId="14937372" w14:textId="2A0BFBEA" w:rsidR="005F73C3" w:rsidRPr="005F73C3" w:rsidRDefault="005F73C3" w:rsidP="00516D80">
            <w:pPr>
              <w:numPr>
                <w:ilvl w:val="0"/>
                <w:numId w:val="21"/>
              </w:numPr>
              <w:spacing w:before="100" w:after="100" w:line="276" w:lineRule="auto"/>
              <w:rPr>
                <w:lang w:val="hr-HR"/>
              </w:rPr>
            </w:pPr>
            <w:r w:rsidRPr="005F73C3">
              <w:rPr>
                <w:lang w:val="hr-HR"/>
              </w:rPr>
              <w:t>Definisa</w:t>
            </w:r>
            <w:r>
              <w:rPr>
                <w:lang w:val="hr-HR"/>
              </w:rPr>
              <w:t>nje</w:t>
            </w:r>
            <w:r w:rsidRPr="005F73C3">
              <w:rPr>
                <w:lang w:val="hr-HR"/>
              </w:rPr>
              <w:t xml:space="preserve"> struktur</w:t>
            </w:r>
            <w:r>
              <w:rPr>
                <w:lang w:val="hr-HR"/>
              </w:rPr>
              <w:t>e</w:t>
            </w:r>
            <w:r w:rsidRPr="005F73C3">
              <w:rPr>
                <w:lang w:val="hr-HR"/>
              </w:rPr>
              <w:t xml:space="preserve"> i ciljev</w:t>
            </w:r>
            <w:r>
              <w:rPr>
                <w:lang w:val="hr-HR"/>
              </w:rPr>
              <w:t>e</w:t>
            </w:r>
            <w:r w:rsidRPr="005F73C3">
              <w:rPr>
                <w:lang w:val="hr-HR"/>
              </w:rPr>
              <w:t xml:space="preserve"> Crnogorskog okvirnog programa ključnih kompetencija;</w:t>
            </w:r>
          </w:p>
          <w:p w14:paraId="3F79922D" w14:textId="7FCCFE76" w:rsidR="003637F7" w:rsidRPr="003637F7" w:rsidRDefault="005F73C3" w:rsidP="00516D80">
            <w:pPr>
              <w:numPr>
                <w:ilvl w:val="0"/>
                <w:numId w:val="21"/>
              </w:numPr>
              <w:spacing w:before="100" w:after="100" w:line="276" w:lineRule="auto"/>
              <w:rPr>
                <w:b/>
                <w:lang w:val="hr-HR"/>
              </w:rPr>
            </w:pPr>
            <w:r w:rsidRPr="005F73C3">
              <w:rPr>
                <w:lang w:val="hr-HR"/>
              </w:rPr>
              <w:t>Utvr</w:t>
            </w:r>
            <w:r>
              <w:rPr>
                <w:lang w:val="hr-HR"/>
              </w:rPr>
              <w:t>đivanje</w:t>
            </w:r>
            <w:r w:rsidRPr="005F73C3">
              <w:rPr>
                <w:lang w:val="hr-HR"/>
              </w:rPr>
              <w:t xml:space="preserve"> metodologij</w:t>
            </w:r>
            <w:r>
              <w:rPr>
                <w:lang w:val="hr-HR"/>
              </w:rPr>
              <w:t>e</w:t>
            </w:r>
            <w:r w:rsidRPr="005F73C3">
              <w:rPr>
                <w:lang w:val="hr-HR"/>
              </w:rPr>
              <w:t xml:space="preserve"> </w:t>
            </w:r>
            <w:r>
              <w:rPr>
                <w:lang w:val="hr-HR"/>
              </w:rPr>
              <w:t>razvoja</w:t>
            </w:r>
            <w:r w:rsidRPr="005F73C3">
              <w:rPr>
                <w:lang w:val="hr-HR"/>
              </w:rPr>
              <w:t xml:space="preserve"> ishoda učenja za ključne kompetencije, nivoe za </w:t>
            </w:r>
            <w:r>
              <w:rPr>
                <w:lang w:val="hr-HR"/>
              </w:rPr>
              <w:t>ishode učenja</w:t>
            </w:r>
            <w:r w:rsidRPr="005F73C3">
              <w:rPr>
                <w:lang w:val="hr-HR"/>
              </w:rPr>
              <w:t xml:space="preserve"> i obrasce.</w:t>
            </w:r>
          </w:p>
        </w:tc>
        <w:tc>
          <w:tcPr>
            <w:tcW w:w="4536" w:type="dxa"/>
          </w:tcPr>
          <w:p w14:paraId="35E9997F" w14:textId="77777777" w:rsidR="003637F7" w:rsidRPr="003637F7" w:rsidRDefault="003637F7" w:rsidP="00516D80">
            <w:pPr>
              <w:numPr>
                <w:ilvl w:val="0"/>
                <w:numId w:val="25"/>
              </w:numPr>
              <w:spacing w:before="100" w:after="100" w:line="276" w:lineRule="auto"/>
              <w:rPr>
                <w:b/>
                <w:lang w:val="hr-HR"/>
              </w:rPr>
            </w:pPr>
            <w:r w:rsidRPr="003637F7">
              <w:rPr>
                <w:b/>
                <w:lang w:val="hr-HR"/>
              </w:rPr>
              <w:t>sastanak:</w:t>
            </w:r>
          </w:p>
          <w:p w14:paraId="42CF4AEF" w14:textId="33EA5A7B" w:rsidR="00A66451" w:rsidRPr="00A66451" w:rsidRDefault="00A66451" w:rsidP="00A66451">
            <w:pPr>
              <w:pStyle w:val="ListParagraph"/>
              <w:numPr>
                <w:ilvl w:val="0"/>
                <w:numId w:val="27"/>
              </w:numPr>
              <w:spacing w:before="240"/>
              <w:rPr>
                <w:lang w:val="hr-HR"/>
              </w:rPr>
            </w:pPr>
            <w:r w:rsidRPr="00A66451">
              <w:rPr>
                <w:lang w:val="hr-HR"/>
              </w:rPr>
              <w:t>Konstituisanje radne grupe i metodologije rada;</w:t>
            </w:r>
          </w:p>
          <w:p w14:paraId="257A98CE" w14:textId="4C204239" w:rsidR="00A66451" w:rsidRPr="00A66451" w:rsidRDefault="00A66451" w:rsidP="00A66451">
            <w:pPr>
              <w:pStyle w:val="ListParagraph"/>
              <w:numPr>
                <w:ilvl w:val="0"/>
                <w:numId w:val="27"/>
              </w:numPr>
              <w:spacing w:before="240"/>
              <w:rPr>
                <w:lang w:val="hr-HR"/>
              </w:rPr>
            </w:pPr>
            <w:r w:rsidRPr="00A66451">
              <w:rPr>
                <w:lang w:val="hr-HR"/>
              </w:rPr>
              <w:t>Definisanje ključnih kompetencije, na osnovu EU referentnog okvira ključnih kompetencija  za cjeloživotno učenje (2018);</w:t>
            </w:r>
          </w:p>
          <w:p w14:paraId="6B44D27A" w14:textId="24E149A4" w:rsidR="00A66451" w:rsidRPr="00A66451" w:rsidRDefault="00A66451" w:rsidP="00A66451">
            <w:pPr>
              <w:pStyle w:val="ListParagraph"/>
              <w:numPr>
                <w:ilvl w:val="0"/>
                <w:numId w:val="27"/>
              </w:numPr>
              <w:spacing w:before="240"/>
              <w:rPr>
                <w:lang w:val="hr-HR"/>
              </w:rPr>
            </w:pPr>
            <w:r w:rsidRPr="00A66451">
              <w:rPr>
                <w:lang w:val="hr-HR"/>
              </w:rPr>
              <w:t>Utvrđivanje ishoda učenja za osam ključnih kompetencija (svaka radna grupa za po dvije) po utvrđenim obrazovnim nivoima;</w:t>
            </w:r>
          </w:p>
          <w:p w14:paraId="596E8F04" w14:textId="42DAF7A3" w:rsidR="003637F7" w:rsidRPr="00A66451" w:rsidRDefault="00A66451" w:rsidP="00A66451">
            <w:pPr>
              <w:pStyle w:val="ListParagraph"/>
              <w:numPr>
                <w:ilvl w:val="0"/>
                <w:numId w:val="27"/>
              </w:numPr>
              <w:spacing w:before="240"/>
              <w:rPr>
                <w:lang w:val="hr-HR"/>
              </w:rPr>
            </w:pPr>
            <w:r w:rsidRPr="00A66451">
              <w:rPr>
                <w:lang w:val="hr-HR"/>
              </w:rPr>
              <w:t xml:space="preserve">Definisanje generalnih smjernice (didaktičke preporuke) za integraciju ključnih kompetencija u nastavu i učenje </w:t>
            </w:r>
          </w:p>
        </w:tc>
      </w:tr>
      <w:tr w:rsidR="003637F7" w:rsidRPr="003637F7" w14:paraId="445A68CB" w14:textId="77777777" w:rsidTr="00C74B1D">
        <w:tc>
          <w:tcPr>
            <w:tcW w:w="4536" w:type="dxa"/>
          </w:tcPr>
          <w:p w14:paraId="780C0A4B" w14:textId="77777777" w:rsidR="003637F7" w:rsidRPr="003637F7" w:rsidRDefault="003637F7" w:rsidP="00516D80">
            <w:pPr>
              <w:numPr>
                <w:ilvl w:val="0"/>
                <w:numId w:val="25"/>
              </w:numPr>
              <w:spacing w:before="100" w:after="100" w:line="276" w:lineRule="auto"/>
              <w:rPr>
                <w:b/>
                <w:lang w:val="hr-HR"/>
              </w:rPr>
            </w:pPr>
            <w:r w:rsidRPr="003637F7">
              <w:rPr>
                <w:b/>
                <w:lang w:val="hr-HR"/>
              </w:rPr>
              <w:t>sastanak:</w:t>
            </w:r>
          </w:p>
          <w:p w14:paraId="2D713D47" w14:textId="6F4C514A" w:rsidR="00516D80" w:rsidRPr="00516D80" w:rsidRDefault="00516D80" w:rsidP="00516D80">
            <w:pPr>
              <w:numPr>
                <w:ilvl w:val="0"/>
                <w:numId w:val="23"/>
              </w:num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Razmatranje</w:t>
            </w:r>
            <w:r w:rsidRPr="00516D80">
              <w:rPr>
                <w:lang w:val="hr-HR"/>
              </w:rPr>
              <w:t xml:space="preserve"> i finalizira</w:t>
            </w:r>
            <w:r>
              <w:rPr>
                <w:lang w:val="hr-HR"/>
              </w:rPr>
              <w:t>nje</w:t>
            </w:r>
            <w:r w:rsidRPr="00516D80">
              <w:rPr>
                <w:lang w:val="hr-HR"/>
              </w:rPr>
              <w:t xml:space="preserve"> metodologiju praćenja  integracije ključnih kompetencija u školsko učenje na prijedlog nadzornika i savjetnika za osiguranje kvaliteta Zavoda i školstvo i Centra za stručno obrazovanje;</w:t>
            </w:r>
          </w:p>
          <w:p w14:paraId="6C488EBA" w14:textId="0775977B" w:rsidR="00516D80" w:rsidRPr="00516D80" w:rsidRDefault="00516D80" w:rsidP="00516D80">
            <w:pPr>
              <w:numPr>
                <w:ilvl w:val="0"/>
                <w:numId w:val="23"/>
              </w:numPr>
              <w:spacing w:before="100" w:after="100" w:line="276" w:lineRule="auto"/>
              <w:rPr>
                <w:lang w:val="hr-HR"/>
              </w:rPr>
            </w:pPr>
            <w:r>
              <w:rPr>
                <w:lang w:val="hr-HR"/>
              </w:rPr>
              <w:t>Akcioni</w:t>
            </w:r>
            <w:r w:rsidRPr="00516D80">
              <w:rPr>
                <w:lang w:val="hr-HR"/>
              </w:rPr>
              <w:t xml:space="preserve"> plan za integraciju MINT ključne kompetencije u obrazovni sistem Crne Gore;</w:t>
            </w:r>
          </w:p>
          <w:p w14:paraId="2121F048" w14:textId="79598942" w:rsidR="003637F7" w:rsidRPr="003637F7" w:rsidRDefault="00516D80" w:rsidP="00E85592">
            <w:pPr>
              <w:numPr>
                <w:ilvl w:val="0"/>
                <w:numId w:val="23"/>
              </w:numPr>
              <w:spacing w:before="100" w:after="100" w:line="276" w:lineRule="auto"/>
              <w:rPr>
                <w:lang w:val="hr-HR"/>
              </w:rPr>
            </w:pPr>
            <w:r w:rsidRPr="00516D80">
              <w:rPr>
                <w:lang w:val="hr-HR"/>
              </w:rPr>
              <w:t>Nastav</w:t>
            </w:r>
            <w:r>
              <w:rPr>
                <w:lang w:val="hr-HR"/>
              </w:rPr>
              <w:t>ak</w:t>
            </w:r>
            <w:r w:rsidRPr="00516D80">
              <w:rPr>
                <w:lang w:val="hr-HR"/>
              </w:rPr>
              <w:t xml:space="preserve"> rad</w:t>
            </w:r>
            <w:r>
              <w:rPr>
                <w:lang w:val="hr-HR"/>
              </w:rPr>
              <w:t>a</w:t>
            </w:r>
            <w:r w:rsidRPr="00516D80">
              <w:rPr>
                <w:lang w:val="hr-HR"/>
              </w:rPr>
              <w:t xml:space="preserve"> na razvoju Crnogorskog okvirnog programa ključnih kompetencija za cjeloživotno učenje.</w:t>
            </w:r>
          </w:p>
        </w:tc>
        <w:tc>
          <w:tcPr>
            <w:tcW w:w="4536" w:type="dxa"/>
          </w:tcPr>
          <w:p w14:paraId="2E0BB3BD" w14:textId="6F0517F6" w:rsidR="003637F7" w:rsidRPr="003637F7" w:rsidRDefault="00A66451" w:rsidP="00516D80">
            <w:pPr>
              <w:numPr>
                <w:ilvl w:val="0"/>
                <w:numId w:val="24"/>
              </w:numPr>
              <w:spacing w:before="100" w:after="100" w:line="276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3.  4. </w:t>
            </w:r>
            <w:r w:rsidR="003637F7" w:rsidRPr="003637F7">
              <w:rPr>
                <w:b/>
                <w:lang w:val="hr-HR"/>
              </w:rPr>
              <w:t>sastanak:</w:t>
            </w:r>
          </w:p>
          <w:p w14:paraId="3C2DCE91" w14:textId="31753DF7" w:rsidR="003637F7" w:rsidRPr="00A66451" w:rsidRDefault="003637F7" w:rsidP="00516D80">
            <w:pPr>
              <w:numPr>
                <w:ilvl w:val="0"/>
                <w:numId w:val="23"/>
              </w:numPr>
              <w:spacing w:before="100" w:after="100" w:line="276" w:lineRule="auto"/>
              <w:rPr>
                <w:lang w:val="hr-HR"/>
              </w:rPr>
            </w:pPr>
            <w:r w:rsidRPr="003637F7">
              <w:rPr>
                <w:b/>
                <w:lang w:val="hr-HR"/>
              </w:rPr>
              <w:t xml:space="preserve"> </w:t>
            </w:r>
            <w:r w:rsidR="00A66451" w:rsidRPr="00A66451">
              <w:rPr>
                <w:lang w:val="hr-HR"/>
              </w:rPr>
              <w:t>Rad na formulisanju ishoda</w:t>
            </w:r>
          </w:p>
        </w:tc>
      </w:tr>
      <w:tr w:rsidR="00CC3CC1" w:rsidRPr="003637F7" w14:paraId="21DD48E0" w14:textId="77777777" w:rsidTr="00147E95">
        <w:tc>
          <w:tcPr>
            <w:tcW w:w="9072" w:type="dxa"/>
            <w:gridSpan w:val="2"/>
          </w:tcPr>
          <w:p w14:paraId="7A0B62E1" w14:textId="277FF915" w:rsidR="00CC3CC1" w:rsidRPr="00CC3CC1" w:rsidRDefault="00CC3CC1" w:rsidP="00CC3CC1">
            <w:pPr>
              <w:spacing w:before="100" w:after="100" w:line="276" w:lineRule="auto"/>
              <w:ind w:left="720"/>
              <w:rPr>
                <w:lang w:val="hr-HR"/>
              </w:rPr>
            </w:pPr>
            <w:r w:rsidRPr="00CC3CC1">
              <w:rPr>
                <w:lang w:val="hr-HR"/>
              </w:rPr>
              <w:lastRenderedPageBreak/>
              <w:t xml:space="preserve">Sastanci i konsultacije u manjim grupama </w:t>
            </w:r>
            <w:r>
              <w:rPr>
                <w:lang w:val="hr-HR"/>
              </w:rPr>
              <w:t>sa zadatkom „brušenja“ formulisanih ishoda kompetencija Crnogorskog okvira na prethodnim sastancima.</w:t>
            </w:r>
          </w:p>
        </w:tc>
      </w:tr>
    </w:tbl>
    <w:p w14:paraId="0477FAD1" w14:textId="77777777" w:rsidR="00DE7C92" w:rsidRDefault="00DE7C92" w:rsidP="002D1AA0">
      <w:pPr>
        <w:spacing w:before="100" w:after="100" w:line="276" w:lineRule="auto"/>
        <w:jc w:val="both"/>
        <w:rPr>
          <w:lang w:val="sr-Latn-RS"/>
        </w:rPr>
      </w:pPr>
    </w:p>
    <w:p w14:paraId="4AA717B5" w14:textId="23156FC2" w:rsidR="00E0271A" w:rsidRDefault="00516D80" w:rsidP="00B93E9A">
      <w:pPr>
        <w:spacing w:before="100" w:after="100" w:line="360" w:lineRule="auto"/>
        <w:jc w:val="both"/>
        <w:rPr>
          <w:lang w:val="sr-Latn-RS"/>
        </w:rPr>
      </w:pPr>
      <w:r w:rsidRPr="00516D80">
        <w:rPr>
          <w:lang w:val="sr-Latn-RS"/>
        </w:rPr>
        <w:t>Nakon seminara i radionica</w:t>
      </w:r>
      <w:r w:rsidR="00A66451">
        <w:rPr>
          <w:lang w:val="sr-Latn-RS"/>
        </w:rPr>
        <w:t xml:space="preserve"> u prvoj četvrtini projekta, </w:t>
      </w:r>
      <w:r w:rsidRPr="00516D80">
        <w:rPr>
          <w:lang w:val="sr-Latn-RS"/>
        </w:rPr>
        <w:t xml:space="preserve">procesni rad se </w:t>
      </w:r>
      <w:r w:rsidR="00DE7C92">
        <w:rPr>
          <w:lang w:val="sr-Latn-RS"/>
        </w:rPr>
        <w:t xml:space="preserve">planira i </w:t>
      </w:r>
      <w:r w:rsidRPr="00516D80">
        <w:rPr>
          <w:lang w:val="sr-Latn-RS"/>
        </w:rPr>
        <w:t>nastavlja u okviru brojnih sastanaka</w:t>
      </w:r>
      <w:r w:rsidR="00DE7C92">
        <w:rPr>
          <w:lang w:val="sr-Latn-RS"/>
        </w:rPr>
        <w:t xml:space="preserve">, </w:t>
      </w:r>
      <w:r w:rsidRPr="00516D80">
        <w:rPr>
          <w:lang w:val="sr-Latn-RS"/>
        </w:rPr>
        <w:t>konsultacija</w:t>
      </w:r>
      <w:r w:rsidR="00B93E9A">
        <w:rPr>
          <w:lang w:val="sr-Latn-RS"/>
        </w:rPr>
        <w:t xml:space="preserve">, uz korištenje e-alata kad epidemiološka situacija ne dozvoljava </w:t>
      </w:r>
      <w:r w:rsidR="00B93E9A" w:rsidRPr="00B93E9A">
        <w:rPr>
          <w:lang w:val="sr-Latn-RS"/>
        </w:rPr>
        <w:t>tet a tet</w:t>
      </w:r>
      <w:r w:rsidR="00B93E9A">
        <w:rPr>
          <w:lang w:val="sr-Latn-RS"/>
        </w:rPr>
        <w:t xml:space="preserve"> susrete. </w:t>
      </w:r>
      <w:r w:rsidRPr="00516D80">
        <w:rPr>
          <w:lang w:val="sr-Latn-RS"/>
        </w:rPr>
        <w:t xml:space="preserve"> </w:t>
      </w:r>
      <w:r w:rsidR="00B93E9A">
        <w:rPr>
          <w:lang w:val="sr-Latn-RS"/>
        </w:rPr>
        <w:t>Očekivani rezultat su</w:t>
      </w:r>
      <w:r w:rsidRPr="00516D80">
        <w:rPr>
          <w:lang w:val="sr-Latn-RS"/>
        </w:rPr>
        <w:t xml:space="preserve"> usaglašen</w:t>
      </w:r>
      <w:r w:rsidR="00B93E9A">
        <w:rPr>
          <w:lang w:val="sr-Latn-RS"/>
        </w:rPr>
        <w:t>i</w:t>
      </w:r>
      <w:r w:rsidR="00E85592">
        <w:rPr>
          <w:lang w:val="sr-Latn-RS"/>
        </w:rPr>
        <w:t xml:space="preserve"> </w:t>
      </w:r>
      <w:r w:rsidR="00B93E9A">
        <w:rPr>
          <w:lang w:val="sr-Latn-RS"/>
        </w:rPr>
        <w:t xml:space="preserve">i verifikovani </w:t>
      </w:r>
      <w:r w:rsidRPr="00516D80">
        <w:rPr>
          <w:lang w:val="sr-Latn-RS"/>
        </w:rPr>
        <w:t>stratešk</w:t>
      </w:r>
      <w:r w:rsidR="00B93E9A">
        <w:rPr>
          <w:lang w:val="sr-Latn-RS"/>
        </w:rPr>
        <w:t>i</w:t>
      </w:r>
      <w:r w:rsidRPr="00516D80">
        <w:rPr>
          <w:lang w:val="sr-Latn-RS"/>
        </w:rPr>
        <w:t xml:space="preserve"> dokument</w:t>
      </w:r>
      <w:r w:rsidR="00B93E9A">
        <w:rPr>
          <w:lang w:val="sr-Latn-RS"/>
        </w:rPr>
        <w:t>i</w:t>
      </w:r>
      <w:r w:rsidRPr="00516D80">
        <w:rPr>
          <w:lang w:val="sr-Latn-RS"/>
        </w:rPr>
        <w:t xml:space="preserve"> i odluke o daljim aktivnostima realizacije projektnih zadataka.  </w:t>
      </w:r>
    </w:p>
    <w:p w14:paraId="4B473045" w14:textId="77777777" w:rsidR="00E23C39" w:rsidRDefault="00E23C39" w:rsidP="00050016">
      <w:pPr>
        <w:spacing w:before="100" w:after="100" w:line="360" w:lineRule="auto"/>
        <w:jc w:val="both"/>
        <w:rPr>
          <w:b/>
          <w:color w:val="800000"/>
          <w:sz w:val="24"/>
          <w:lang w:val="sr-Latn-RS"/>
        </w:rPr>
      </w:pPr>
    </w:p>
    <w:p w14:paraId="1EBCAEE3" w14:textId="61BC1D4B" w:rsidR="00E262BF" w:rsidRDefault="00E23C39" w:rsidP="00050016">
      <w:pPr>
        <w:spacing w:before="100" w:after="100" w:line="360" w:lineRule="auto"/>
        <w:jc w:val="both"/>
        <w:rPr>
          <w:b/>
          <w:color w:val="800000"/>
          <w:sz w:val="24"/>
          <w:lang w:val="sr-Latn-RS"/>
        </w:rPr>
      </w:pPr>
      <w:r>
        <w:rPr>
          <w:b/>
          <w:color w:val="800000"/>
          <w:sz w:val="24"/>
          <w:lang w:val="sr-Latn-RS"/>
        </w:rPr>
        <w:t>O</w:t>
      </w:r>
      <w:r w:rsidRPr="00E23C39">
        <w:rPr>
          <w:b/>
          <w:color w:val="800000"/>
          <w:sz w:val="24"/>
          <w:lang w:val="sr-Latn-RS"/>
        </w:rPr>
        <w:t>buk</w:t>
      </w:r>
      <w:r>
        <w:rPr>
          <w:b/>
          <w:color w:val="800000"/>
          <w:sz w:val="24"/>
          <w:lang w:val="sr-Latn-RS"/>
        </w:rPr>
        <w:t>a</w:t>
      </w:r>
      <w:r w:rsidRPr="00E23C39">
        <w:rPr>
          <w:b/>
          <w:color w:val="800000"/>
          <w:sz w:val="24"/>
          <w:lang w:val="sr-Latn-RS"/>
        </w:rPr>
        <w:t xml:space="preserve"> pedagoških nadzornika Zavoda za školstvo i savjetnika za osiguranje kvaliteta Centra za stručno obrazovanje</w:t>
      </w:r>
    </w:p>
    <w:p w14:paraId="11D4687D" w14:textId="77777777" w:rsidR="00E85592" w:rsidRDefault="00B93E9A" w:rsidP="00E85592">
      <w:pPr>
        <w:spacing w:before="100" w:after="100" w:line="360" w:lineRule="auto"/>
        <w:jc w:val="both"/>
        <w:rPr>
          <w:lang w:val="sr-Latn-RS"/>
        </w:rPr>
      </w:pPr>
      <w:r w:rsidRPr="00B93E9A">
        <w:rPr>
          <w:lang w:val="sr-Latn-RS"/>
        </w:rPr>
        <w:t xml:space="preserve">Planirane su </w:t>
      </w:r>
      <w:r>
        <w:rPr>
          <w:lang w:val="sr-Latn-RS"/>
        </w:rPr>
        <w:t>tri dvodnevne obuke za 30 zaposlenih</w:t>
      </w:r>
      <w:r w:rsidRPr="00B93E9A">
        <w:rPr>
          <w:lang w:val="sr-Latn-RS"/>
        </w:rPr>
        <w:t xml:space="preserve"> u Zavodu za školstvo, školama i visokoškolskim ustanovama koji su direktno odgovorni za osiguranje kvalit</w:t>
      </w:r>
      <w:r>
        <w:rPr>
          <w:lang w:val="sr-Latn-RS"/>
        </w:rPr>
        <w:t xml:space="preserve">eta koje </w:t>
      </w:r>
      <w:r w:rsidRPr="00B93E9A">
        <w:rPr>
          <w:lang w:val="sr-Latn-RS"/>
        </w:rPr>
        <w:t>uključujuć</w:t>
      </w:r>
      <w:r>
        <w:rPr>
          <w:lang w:val="sr-Latn-RS"/>
        </w:rPr>
        <w:t>i internu i eksternu evaluaciju.</w:t>
      </w:r>
      <w:r w:rsidR="00C16838">
        <w:rPr>
          <w:lang w:val="sr-Latn-RS"/>
        </w:rPr>
        <w:t xml:space="preserve"> U prvoj četvrtini projekta održana je dvodnevna obuka u okviru koje su nadzornici </w:t>
      </w:r>
      <w:r w:rsidR="00090FAD">
        <w:rPr>
          <w:lang w:val="sr-Latn-RS"/>
        </w:rPr>
        <w:t xml:space="preserve">upućeni u posebnost praćenja i vrednovanja uključenosti ključnih kompetencija u nastavu i učenje. </w:t>
      </w:r>
    </w:p>
    <w:p w14:paraId="16CEB4C8" w14:textId="6FA87CA3" w:rsidR="00090FAD" w:rsidRDefault="00E85592" w:rsidP="00090FAD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Svaki</w:t>
      </w:r>
      <w:r w:rsidRPr="00090FAD">
        <w:rPr>
          <w:lang w:val="sr-Latn-RS"/>
        </w:rPr>
        <w:t xml:space="preserve"> proces promena započinje praćenjem</w:t>
      </w:r>
      <w:r>
        <w:rPr>
          <w:lang w:val="sr-Latn-RS"/>
        </w:rPr>
        <w:t>, merenjem</w:t>
      </w:r>
      <w:r w:rsidRPr="00090FAD">
        <w:rPr>
          <w:lang w:val="sr-Latn-RS"/>
        </w:rPr>
        <w:t xml:space="preserve"> stanja trenutne prakse. </w:t>
      </w:r>
      <w:r>
        <w:rPr>
          <w:lang w:val="sr-Latn-RS"/>
        </w:rPr>
        <w:t xml:space="preserve">Preuranjene </w:t>
      </w:r>
      <w:r w:rsidRPr="00090FAD">
        <w:rPr>
          <w:lang w:val="sr-Latn-RS"/>
        </w:rPr>
        <w:t xml:space="preserve"> evaluacije mogu ukazivati na „pad implementacije“ </w:t>
      </w:r>
      <w:r>
        <w:rPr>
          <w:lang w:val="sr-Latn-RS"/>
        </w:rPr>
        <w:t xml:space="preserve">pošto nove pedagoške prakse tek treba da uhvate svoj zamajac. Zbog toga bi </w:t>
      </w:r>
      <w:r w:rsidR="00090FAD">
        <w:rPr>
          <w:lang w:val="sr-Latn-RS"/>
        </w:rPr>
        <w:t xml:space="preserve">uloga </w:t>
      </w:r>
      <w:r>
        <w:rPr>
          <w:lang w:val="sr-Latn-RS"/>
        </w:rPr>
        <w:t xml:space="preserve">pedagoških nadzornika </w:t>
      </w:r>
      <w:r w:rsidR="00090FAD">
        <w:rPr>
          <w:lang w:val="sr-Latn-RS"/>
        </w:rPr>
        <w:t>trebal</w:t>
      </w:r>
      <w:r>
        <w:rPr>
          <w:lang w:val="sr-Latn-RS"/>
        </w:rPr>
        <w:t>a</w:t>
      </w:r>
      <w:r w:rsidR="00090FAD">
        <w:rPr>
          <w:lang w:val="sr-Latn-RS"/>
        </w:rPr>
        <w:t xml:space="preserve"> da</w:t>
      </w:r>
      <w:r w:rsidR="00C4224C">
        <w:rPr>
          <w:lang w:val="sr-Latn-RS"/>
        </w:rPr>
        <w:t xml:space="preserve"> bude podržavajuća, osnažujuća, više savetodavna nego kontrolišuća, pogotovu u početku implemetacije. </w:t>
      </w:r>
      <w:r w:rsidR="00090FAD">
        <w:rPr>
          <w:lang w:val="sr-Latn-RS"/>
        </w:rPr>
        <w:t xml:space="preserve"> </w:t>
      </w:r>
    </w:p>
    <w:p w14:paraId="084CCE18" w14:textId="73835DFD" w:rsidR="00E0271A" w:rsidRDefault="00090FAD" w:rsidP="00050016">
      <w:pPr>
        <w:spacing w:before="100" w:after="100" w:line="360" w:lineRule="auto"/>
        <w:jc w:val="both"/>
        <w:rPr>
          <w:b/>
          <w:color w:val="800000"/>
          <w:sz w:val="24"/>
          <w:lang w:val="sr-Latn-RS"/>
        </w:rPr>
      </w:pPr>
      <w:r w:rsidRPr="00090FAD">
        <w:rPr>
          <w:lang w:val="sr-Latn-RS"/>
        </w:rPr>
        <w:t>.</w:t>
      </w:r>
    </w:p>
    <w:p w14:paraId="7D13C8A5" w14:textId="0356F978" w:rsidR="00512ECF" w:rsidRDefault="00512ECF" w:rsidP="00050016">
      <w:pPr>
        <w:spacing w:before="100" w:after="100" w:line="360" w:lineRule="auto"/>
        <w:jc w:val="both"/>
        <w:rPr>
          <w:b/>
          <w:color w:val="800000"/>
          <w:sz w:val="24"/>
          <w:lang w:val="sr-Latn-RS"/>
        </w:rPr>
      </w:pPr>
      <w:r>
        <w:rPr>
          <w:b/>
          <w:color w:val="800000"/>
          <w:sz w:val="24"/>
          <w:lang w:val="sr-Latn-RS"/>
        </w:rPr>
        <w:t>Obuka uprave škola</w:t>
      </w:r>
    </w:p>
    <w:p w14:paraId="2A39F102" w14:textId="77777777" w:rsidR="00046CB2" w:rsidRDefault="00512ECF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 xml:space="preserve">Izgradnja kapaciteta uprave škole podrazumeva obuhvat ne samo direktora i njegovog pomoćnika, već i drugih zaposlenih u školama koji su </w:t>
      </w:r>
      <w:r w:rsidR="00193D2E">
        <w:rPr>
          <w:lang w:val="sr-Latn-RS"/>
        </w:rPr>
        <w:t xml:space="preserve">važan resurs za početni zamajac u naporima integracije ishoda Crnogorskog okvira u redovnu nastavu i učenje. U timu škole koji bi trebalo da bude jezgro diseminacije predviđen je i pedagog, kao i osoba koja se smatra vođom tima ili odgovornim za KPR na nivou škole. </w:t>
      </w:r>
    </w:p>
    <w:p w14:paraId="4552C21E" w14:textId="0BDFA063" w:rsidR="00E0271A" w:rsidRDefault="00193D2E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Sadržaj jednodnevnog treninga za upravu škola obuhvata 360 pojedinaca ispred svih osnovnih i s</w:t>
      </w:r>
      <w:r w:rsidR="00E0271A">
        <w:rPr>
          <w:lang w:val="sr-Latn-RS"/>
        </w:rPr>
        <w:t>rednjih škola Crne Gore.</w:t>
      </w:r>
    </w:p>
    <w:p w14:paraId="3AAD2FC2" w14:textId="2DD1C09C" w:rsidR="00512ECF" w:rsidRPr="00512ECF" w:rsidRDefault="00E0271A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C</w:t>
      </w:r>
      <w:r w:rsidR="00046CB2">
        <w:rPr>
          <w:lang w:val="sr-Latn-RS"/>
        </w:rPr>
        <w:t>ilj</w:t>
      </w:r>
      <w:r w:rsidR="00193D2E">
        <w:rPr>
          <w:lang w:val="sr-Latn-RS"/>
        </w:rPr>
        <w:t xml:space="preserve"> </w:t>
      </w:r>
      <w:r>
        <w:rPr>
          <w:lang w:val="sr-Latn-RS"/>
        </w:rPr>
        <w:t>ove obuke i konsult</w:t>
      </w:r>
      <w:r w:rsidR="00046CB2">
        <w:rPr>
          <w:lang w:val="sr-Latn-RS"/>
        </w:rPr>
        <w:t xml:space="preserve">acija sa direktorom i članovima tima </w:t>
      </w:r>
      <w:r>
        <w:rPr>
          <w:lang w:val="sr-Latn-RS"/>
        </w:rPr>
        <w:t xml:space="preserve">škola je da </w:t>
      </w:r>
      <w:r w:rsidR="00193D2E">
        <w:rPr>
          <w:lang w:val="sr-Latn-RS"/>
        </w:rPr>
        <w:t>obezbede starteško planiranje ili akcijski plan koji bi bio deo godišnjeg plana škole i podrže n</w:t>
      </w:r>
      <w:r>
        <w:rPr>
          <w:lang w:val="sr-Latn-RS"/>
        </w:rPr>
        <w:t>a</w:t>
      </w:r>
      <w:r w:rsidR="00193D2E">
        <w:rPr>
          <w:lang w:val="sr-Latn-RS"/>
        </w:rPr>
        <w:t xml:space="preserve">pore nastavnika koji će biti obučeni u okvuru projekta, da realizuju i podele naučeno sa kolegama.  </w:t>
      </w:r>
      <w:r w:rsidR="00512ECF">
        <w:rPr>
          <w:lang w:val="sr-Latn-RS"/>
        </w:rPr>
        <w:t xml:space="preserve"> </w:t>
      </w:r>
    </w:p>
    <w:p w14:paraId="17036918" w14:textId="77777777" w:rsidR="00512ECF" w:rsidRDefault="00512ECF" w:rsidP="00050016">
      <w:pPr>
        <w:spacing w:before="100" w:after="100" w:line="360" w:lineRule="auto"/>
        <w:jc w:val="both"/>
        <w:rPr>
          <w:b/>
          <w:color w:val="800000"/>
          <w:sz w:val="24"/>
          <w:lang w:val="sr-Latn-RS"/>
        </w:rPr>
      </w:pPr>
    </w:p>
    <w:p w14:paraId="08B59080" w14:textId="294D88E4" w:rsidR="003B53C4" w:rsidRDefault="00050016" w:rsidP="00050016">
      <w:pPr>
        <w:spacing w:before="100" w:after="100" w:line="360" w:lineRule="auto"/>
        <w:jc w:val="both"/>
        <w:rPr>
          <w:b/>
          <w:color w:val="800000"/>
          <w:lang w:val="sr-Latn-RS"/>
        </w:rPr>
      </w:pPr>
      <w:r w:rsidRPr="00E262BF">
        <w:rPr>
          <w:b/>
          <w:color w:val="800000"/>
          <w:sz w:val="24"/>
          <w:lang w:val="sr-Latn-RS"/>
        </w:rPr>
        <w:t>Obuk</w:t>
      </w:r>
      <w:r w:rsidR="00243016" w:rsidRPr="00E262BF">
        <w:rPr>
          <w:b/>
          <w:color w:val="800000"/>
          <w:sz w:val="24"/>
          <w:lang w:val="sr-Latn-RS"/>
        </w:rPr>
        <w:t>a nastavnika</w:t>
      </w:r>
      <w:r w:rsidR="00E262BF" w:rsidRPr="00E262BF">
        <w:rPr>
          <w:rFonts w:eastAsia="Times New Roman" w:cs="Times New Roman"/>
          <w:b/>
          <w:color w:val="7A2021"/>
          <w:sz w:val="26"/>
          <w:szCs w:val="24"/>
          <w:lang w:val="hr-HR" w:eastAsia="en-US" w:bidi="ar-SA"/>
        </w:rPr>
        <w:t xml:space="preserve"> </w:t>
      </w:r>
    </w:p>
    <w:p w14:paraId="16521451" w14:textId="38753041" w:rsidR="00050016" w:rsidRDefault="003B53C4" w:rsidP="00050016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„</w:t>
      </w:r>
      <w:r w:rsidRPr="003B53C4">
        <w:rPr>
          <w:i/>
          <w:lang w:val="sr-Latn-RS"/>
        </w:rPr>
        <w:t>Mi pripremamo decu za život o čijem toku ne znamo ništa</w:t>
      </w:r>
      <w:r>
        <w:rPr>
          <w:lang w:val="sr-Latn-RS"/>
        </w:rPr>
        <w:t xml:space="preserve">“ </w:t>
      </w:r>
      <w:r w:rsidRPr="00F13B49">
        <w:rPr>
          <w:lang w:val="sr-Latn-RS"/>
        </w:rPr>
        <w:t>Fran</w:t>
      </w:r>
      <w:r>
        <w:rPr>
          <w:lang w:val="sr-Latn-RS"/>
        </w:rPr>
        <w:t>c</w:t>
      </w:r>
      <w:r w:rsidRPr="00F13B49">
        <w:rPr>
          <w:lang w:val="sr-Latn-RS"/>
        </w:rPr>
        <w:t>oise Dolto</w:t>
      </w:r>
    </w:p>
    <w:p w14:paraId="1E1382B6" w14:textId="6CE37983" w:rsidR="001E7D2D" w:rsidRDefault="00243016" w:rsidP="00B93E9A">
      <w:pPr>
        <w:spacing w:before="100" w:after="100" w:line="360" w:lineRule="auto"/>
        <w:jc w:val="both"/>
        <w:rPr>
          <w:lang w:val="sr-Latn-RS"/>
        </w:rPr>
      </w:pPr>
      <w:r w:rsidRPr="00FF5FC0">
        <w:rPr>
          <w:lang w:val="sr-Latn-RS"/>
        </w:rPr>
        <w:t xml:space="preserve">Postoje velike razlike između nastavnika, kao i između škola, u </w:t>
      </w:r>
      <w:r>
        <w:rPr>
          <w:lang w:val="sr-Latn-RS"/>
        </w:rPr>
        <w:t xml:space="preserve">navikama, tradicijama, </w:t>
      </w:r>
      <w:r w:rsidRPr="00FF5FC0">
        <w:rPr>
          <w:lang w:val="sr-Latn-RS"/>
        </w:rPr>
        <w:t xml:space="preserve">verovanjima o učenju, u nastavnim </w:t>
      </w:r>
      <w:r>
        <w:rPr>
          <w:lang w:val="sr-Latn-RS"/>
        </w:rPr>
        <w:t>pristupima i metodama,</w:t>
      </w:r>
      <w:r w:rsidRPr="00FF5FC0">
        <w:rPr>
          <w:lang w:val="sr-Latn-RS"/>
        </w:rPr>
        <w:t xml:space="preserve"> </w:t>
      </w:r>
      <w:r>
        <w:rPr>
          <w:lang w:val="sr-Latn-RS"/>
        </w:rPr>
        <w:t>pa</w:t>
      </w:r>
      <w:r w:rsidRPr="00FF5FC0">
        <w:rPr>
          <w:lang w:val="sr-Latn-RS"/>
        </w:rPr>
        <w:t xml:space="preserve"> </w:t>
      </w:r>
      <w:r>
        <w:rPr>
          <w:lang w:val="sr-Latn-RS"/>
        </w:rPr>
        <w:t>time</w:t>
      </w:r>
      <w:r w:rsidRPr="00FF5FC0">
        <w:rPr>
          <w:lang w:val="sr-Latn-RS"/>
        </w:rPr>
        <w:t xml:space="preserve"> </w:t>
      </w:r>
      <w:r>
        <w:rPr>
          <w:lang w:val="sr-Latn-RS"/>
        </w:rPr>
        <w:t>i u efikasnosti. O</w:t>
      </w:r>
      <w:r w:rsidRPr="00FF5FC0">
        <w:rPr>
          <w:lang w:val="sr-Latn-RS"/>
        </w:rPr>
        <w:t xml:space="preserve">vo sugeriše da profesionalni razvoj treba da bude usmeren </w:t>
      </w:r>
      <w:r w:rsidR="000500D1">
        <w:rPr>
          <w:lang w:val="sr-Latn-RS"/>
        </w:rPr>
        <w:t>prema</w:t>
      </w:r>
      <w:r w:rsidRPr="00FF5FC0">
        <w:rPr>
          <w:lang w:val="sr-Latn-RS"/>
        </w:rPr>
        <w:t xml:space="preserve"> individualnoj proceni potreba za </w:t>
      </w:r>
      <w:r w:rsidR="000500D1">
        <w:rPr>
          <w:lang w:val="sr-Latn-RS"/>
        </w:rPr>
        <w:t xml:space="preserve">unapređenjem veština i znanja, </w:t>
      </w:r>
      <w:r w:rsidR="00E85592">
        <w:rPr>
          <w:lang w:val="sr-Latn-RS"/>
        </w:rPr>
        <w:t xml:space="preserve">a nakon samoevaluacije, pmak </w:t>
      </w:r>
      <w:r w:rsidR="000500D1">
        <w:rPr>
          <w:lang w:val="sr-Latn-RS"/>
        </w:rPr>
        <w:t xml:space="preserve">se može postići dobrim primerima efikasnog rada sa učenicima i dobrom saradničkom atmosferom u školi među nastavnicima. </w:t>
      </w:r>
      <w:r w:rsidRPr="00FF5FC0">
        <w:rPr>
          <w:lang w:val="sr-Latn-RS"/>
        </w:rPr>
        <w:t xml:space="preserve">Da bi podržali razvoj ključnih kompetencija svojih učenika, nastavnici </w:t>
      </w:r>
      <w:r>
        <w:rPr>
          <w:lang w:val="sr-Latn-RS"/>
        </w:rPr>
        <w:t xml:space="preserve">bi treblao </w:t>
      </w:r>
      <w:r w:rsidRPr="00FF5FC0">
        <w:rPr>
          <w:lang w:val="sr-Latn-RS"/>
        </w:rPr>
        <w:t xml:space="preserve"> da raz</w:t>
      </w:r>
      <w:r>
        <w:rPr>
          <w:lang w:val="sr-Latn-RS"/>
        </w:rPr>
        <w:t>viju svoje ključne kompetencije</w:t>
      </w:r>
      <w:r w:rsidRPr="00FF5FC0">
        <w:rPr>
          <w:lang w:val="sr-Latn-RS"/>
        </w:rPr>
        <w:t xml:space="preserve"> kao i pedagoške prakse koje podržavaju razvoj ključnih kompetencija</w:t>
      </w:r>
      <w:r>
        <w:rPr>
          <w:lang w:val="sr-Latn-RS"/>
        </w:rPr>
        <w:t xml:space="preserve">. </w:t>
      </w:r>
      <w:r w:rsidRPr="00FF5FC0">
        <w:rPr>
          <w:lang w:val="sr-Latn-RS"/>
        </w:rPr>
        <w:t xml:space="preserve">Ovo je posebno važno </w:t>
      </w:r>
      <w:r>
        <w:rPr>
          <w:lang w:val="sr-Latn-RS"/>
        </w:rPr>
        <w:t xml:space="preserve">ukoliko se nastavnici teže odriču sigurne uloge prenošenja </w:t>
      </w:r>
      <w:r w:rsidRPr="00FF5FC0">
        <w:rPr>
          <w:lang w:val="sr-Latn-RS"/>
        </w:rPr>
        <w:t xml:space="preserve"> znanja</w:t>
      </w:r>
      <w:r w:rsidR="00716753">
        <w:rPr>
          <w:lang w:val="sr-Latn-RS"/>
        </w:rPr>
        <w:t xml:space="preserve"> umesto ulaganja da učenike aktiviraju i osamostaljuju</w:t>
      </w:r>
      <w:r w:rsidRPr="00FF5FC0">
        <w:rPr>
          <w:lang w:val="sr-Latn-RS"/>
        </w:rPr>
        <w:t xml:space="preserve">. </w:t>
      </w:r>
    </w:p>
    <w:p w14:paraId="647CE411" w14:textId="6718A71D" w:rsidR="00F953F2" w:rsidRDefault="001E7D2D" w:rsidP="00B93E9A">
      <w:pPr>
        <w:spacing w:before="100" w:after="100" w:line="360" w:lineRule="auto"/>
        <w:jc w:val="both"/>
        <w:rPr>
          <w:lang w:val="sr-Latn-RS"/>
        </w:rPr>
      </w:pPr>
      <w:r w:rsidRPr="001E7D2D">
        <w:rPr>
          <w:lang w:val="sr-Latn-RS"/>
        </w:rPr>
        <w:t xml:space="preserve">Nalazi analize KPR između ostalog, pokazali su da nastavnici u Crnoj Gori </w:t>
      </w:r>
      <w:r w:rsidR="00E85592">
        <w:rPr>
          <w:lang w:val="sr-Latn-RS"/>
        </w:rPr>
        <w:t xml:space="preserve">pogotvu predmetni, </w:t>
      </w:r>
      <w:r w:rsidRPr="001E7D2D">
        <w:rPr>
          <w:lang w:val="sr-Latn-RS"/>
        </w:rPr>
        <w:t xml:space="preserve">svoju ulogu većinom prepoznaju u nastavi i ispunjavanju plana i programa, ograničavajući se na zidove učionice i granice </w:t>
      </w:r>
      <w:r>
        <w:rPr>
          <w:lang w:val="sr-Latn-RS"/>
        </w:rPr>
        <w:t>svog predmeta</w:t>
      </w:r>
      <w:r w:rsidRPr="001E7D2D">
        <w:rPr>
          <w:lang w:val="sr-Latn-RS"/>
        </w:rPr>
        <w:t xml:space="preserve">. </w:t>
      </w:r>
      <w:r w:rsidR="00E85592">
        <w:rPr>
          <w:lang w:val="sr-Latn-RS"/>
        </w:rPr>
        <w:t xml:space="preserve">Kao razloge za to, oni navode manjak fonda časova. </w:t>
      </w:r>
      <w:r w:rsidRPr="001E7D2D">
        <w:rPr>
          <w:lang w:val="sr-Latn-RS"/>
        </w:rPr>
        <w:t xml:space="preserve">Kompetencija razumevanja sistema obrazovanja i njegovog razvoja zahteva nastavnika </w:t>
      </w:r>
      <w:r w:rsidR="000500D1">
        <w:rPr>
          <w:lang w:val="sr-Latn-RS"/>
        </w:rPr>
        <w:t>koji će razvoj učenikovih ključnih kompetencija doživeti kao svoju profesionalnu misiju. Jeda</w:t>
      </w:r>
      <w:r w:rsidR="00E85592">
        <w:rPr>
          <w:lang w:val="sr-Latn-RS"/>
        </w:rPr>
        <w:t xml:space="preserve">n od napora koje bi nastavnik trebalo da </w:t>
      </w:r>
      <w:r w:rsidR="000500D1">
        <w:rPr>
          <w:lang w:val="sr-Latn-RS"/>
        </w:rPr>
        <w:t xml:space="preserve">učini je </w:t>
      </w:r>
      <w:r w:rsidRPr="001E7D2D">
        <w:rPr>
          <w:lang w:val="sr-Latn-RS"/>
        </w:rPr>
        <w:t>da prevaziđ</w:t>
      </w:r>
      <w:r w:rsidR="00F13B49">
        <w:rPr>
          <w:lang w:val="sr-Latn-RS"/>
        </w:rPr>
        <w:t>e</w:t>
      </w:r>
      <w:r w:rsidRPr="001E7D2D">
        <w:rPr>
          <w:lang w:val="sr-Latn-RS"/>
        </w:rPr>
        <w:t>, odnosn</w:t>
      </w:r>
      <w:r w:rsidR="00F953F2">
        <w:rPr>
          <w:lang w:val="sr-Latn-RS"/>
        </w:rPr>
        <w:t>o</w:t>
      </w:r>
      <w:r w:rsidRPr="001E7D2D">
        <w:rPr>
          <w:lang w:val="sr-Latn-RS"/>
        </w:rPr>
        <w:t xml:space="preserve"> prošir</w:t>
      </w:r>
      <w:r w:rsidR="00F13B49">
        <w:rPr>
          <w:lang w:val="sr-Latn-RS"/>
        </w:rPr>
        <w:t>i</w:t>
      </w:r>
      <w:r w:rsidRPr="001E7D2D">
        <w:rPr>
          <w:lang w:val="sr-Latn-RS"/>
        </w:rPr>
        <w:t xml:space="preserve"> svoj</w:t>
      </w:r>
      <w:r w:rsidR="00F953F2">
        <w:rPr>
          <w:lang w:val="sr-Latn-RS"/>
        </w:rPr>
        <w:t>u</w:t>
      </w:r>
      <w:r w:rsidRPr="001E7D2D">
        <w:rPr>
          <w:lang w:val="sr-Latn-RS"/>
        </w:rPr>
        <w:t xml:space="preserve"> </w:t>
      </w:r>
      <w:r w:rsidR="00F953F2">
        <w:rPr>
          <w:lang w:val="sr-Latn-RS"/>
        </w:rPr>
        <w:t>disciplinarnu oblast</w:t>
      </w:r>
      <w:r w:rsidRPr="001E7D2D">
        <w:rPr>
          <w:lang w:val="sr-Latn-RS"/>
        </w:rPr>
        <w:t xml:space="preserve"> </w:t>
      </w:r>
      <w:r w:rsidR="003B53C4">
        <w:rPr>
          <w:lang w:val="sr-Latn-RS"/>
        </w:rPr>
        <w:t xml:space="preserve">sa </w:t>
      </w:r>
      <w:r w:rsidR="00F953F2">
        <w:rPr>
          <w:lang w:val="sr-Latn-RS"/>
        </w:rPr>
        <w:t>drugim disciplinama kroz objedinjujuće ishode ključnih kompentencija</w:t>
      </w:r>
      <w:r w:rsidR="003B53C4">
        <w:rPr>
          <w:lang w:val="sr-Latn-RS"/>
        </w:rPr>
        <w:t>, koristeći pristupe koji potkrepljuju radoznalost i pomažu učenicima da pronađu svoj stil učenja.</w:t>
      </w:r>
      <w:r w:rsidR="00F953F2">
        <w:rPr>
          <w:lang w:val="sr-Latn-RS"/>
        </w:rPr>
        <w:t xml:space="preserve"> Zajedničkim planiranjem, za koje je potrebno vreme i posvećenost, nastavnici bi trebalo da </w:t>
      </w:r>
      <w:r w:rsidR="00163F94">
        <w:rPr>
          <w:lang w:val="sr-Latn-RS"/>
        </w:rPr>
        <w:t>pronađu način</w:t>
      </w:r>
      <w:r w:rsidR="00EA6A1F">
        <w:rPr>
          <w:lang w:val="sr-Latn-RS"/>
        </w:rPr>
        <w:t>e</w:t>
      </w:r>
      <w:r w:rsidR="00163F94">
        <w:rPr>
          <w:lang w:val="sr-Latn-RS"/>
        </w:rPr>
        <w:t xml:space="preserve"> kako </w:t>
      </w:r>
      <w:r w:rsidR="00F13B49">
        <w:rPr>
          <w:lang w:val="sr-Latn-RS"/>
        </w:rPr>
        <w:t>da učenik kontekstualno uči</w:t>
      </w:r>
      <w:r w:rsidR="00624B13">
        <w:rPr>
          <w:lang w:val="sr-Latn-RS"/>
        </w:rPr>
        <w:t xml:space="preserve"> i da nauči kako sam sebe da vodi. </w:t>
      </w:r>
    </w:p>
    <w:p w14:paraId="26622A51" w14:textId="77777777" w:rsidR="00163F94" w:rsidRDefault="007D59AA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Na osnovu nalaza</w:t>
      </w:r>
      <w:r w:rsidRPr="007D59AA">
        <w:rPr>
          <w:lang w:val="sr-Latn-RS"/>
        </w:rPr>
        <w:t xml:space="preserve"> analize stanja inicijalnog i KPR nastavnika u Crnoj Gori</w:t>
      </w:r>
      <w:r>
        <w:rPr>
          <w:lang w:val="sr-Latn-RS"/>
        </w:rPr>
        <w:t xml:space="preserve">, razvijena je obuka za </w:t>
      </w:r>
      <w:r w:rsidR="00163F94">
        <w:rPr>
          <w:lang w:val="sr-Latn-RS"/>
        </w:rPr>
        <w:t xml:space="preserve">ukupno 1860 nastavnika, odnosno </w:t>
      </w:r>
      <w:r>
        <w:rPr>
          <w:lang w:val="sr-Latn-RS"/>
        </w:rPr>
        <w:t xml:space="preserve">900 nastavnika </w:t>
      </w:r>
      <w:r w:rsidRPr="003C7938">
        <w:rPr>
          <w:lang w:val="sr-Latn-RS"/>
        </w:rPr>
        <w:t xml:space="preserve">razredne nastave </w:t>
      </w:r>
      <w:r>
        <w:rPr>
          <w:lang w:val="sr-Latn-RS"/>
        </w:rPr>
        <w:t>i 960 nastavnika predmetne nastave MINT/STEM predmeta</w:t>
      </w:r>
      <w:r w:rsidRPr="007D59AA">
        <w:rPr>
          <w:lang w:val="sr-Latn-RS"/>
        </w:rPr>
        <w:t xml:space="preserve"> u osnovnom i srednjem obrazovanju</w:t>
      </w:r>
      <w:r w:rsidR="00163F94">
        <w:rPr>
          <w:lang w:val="sr-Latn-RS"/>
        </w:rPr>
        <w:t>.</w:t>
      </w:r>
    </w:p>
    <w:p w14:paraId="255FB4BB" w14:textId="24A5671E" w:rsidR="00163F94" w:rsidRDefault="00163F94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Naziv obuke je:</w:t>
      </w:r>
      <w:r w:rsidR="007D59AA">
        <w:rPr>
          <w:lang w:val="sr-Latn-RS"/>
        </w:rPr>
        <w:t xml:space="preserve"> „</w:t>
      </w:r>
      <w:r w:rsidR="007D59AA" w:rsidRPr="007D59AA">
        <w:rPr>
          <w:b/>
          <w:lang w:val="sr-Latn-RS"/>
        </w:rPr>
        <w:t>Obrazovanje nastavnika za ključne kompetencije u osnovnom i srednjem obrazovanju</w:t>
      </w:r>
      <w:r w:rsidR="007D59AA">
        <w:rPr>
          <w:lang w:val="sr-Latn-RS"/>
        </w:rPr>
        <w:t>“</w:t>
      </w:r>
      <w:r>
        <w:rPr>
          <w:lang w:val="sr-Latn-RS"/>
        </w:rPr>
        <w:t xml:space="preserve">, predviđeno trajanje je dva dana, sa akreditacijom </w:t>
      </w:r>
      <w:r w:rsidR="007D59AA">
        <w:rPr>
          <w:lang w:val="sr-Latn-RS"/>
        </w:rPr>
        <w:t xml:space="preserve">u </w:t>
      </w:r>
      <w:r w:rsidR="007D59AA" w:rsidRPr="007D59AA">
        <w:rPr>
          <w:lang w:val="sr-Latn-RS"/>
        </w:rPr>
        <w:t>Katalogu obuk</w:t>
      </w:r>
      <w:r w:rsidR="007D59AA">
        <w:rPr>
          <w:lang w:val="sr-Latn-RS"/>
        </w:rPr>
        <w:t>a Zavoda za školstvo pod brojem</w:t>
      </w:r>
      <w:r w:rsidR="007D59AA" w:rsidRPr="007D59AA">
        <w:rPr>
          <w:lang w:val="sr-Latn-RS"/>
        </w:rPr>
        <w:t xml:space="preserve"> 144</w:t>
      </w:r>
      <w:r w:rsidR="007D59AA">
        <w:rPr>
          <w:lang w:val="sr-Latn-RS"/>
        </w:rPr>
        <w:t xml:space="preserve">. </w:t>
      </w:r>
    </w:p>
    <w:p w14:paraId="4ABA58FC" w14:textId="78F4441E" w:rsidR="007D59AA" w:rsidRDefault="007D59AA" w:rsidP="00B93E9A">
      <w:pPr>
        <w:spacing w:before="100" w:after="100" w:line="360" w:lineRule="auto"/>
        <w:jc w:val="both"/>
        <w:rPr>
          <w:lang w:val="sr-Latn-RS"/>
        </w:rPr>
      </w:pPr>
      <w:r>
        <w:rPr>
          <w:lang w:val="sr-Latn-RS"/>
        </w:rPr>
        <w:t>Izvedeni su sledeći ciljevi obuke</w:t>
      </w:r>
      <w:r w:rsidR="007D7D68">
        <w:rPr>
          <w:lang w:val="sr-Latn-RS"/>
        </w:rPr>
        <w:t>, prema kojima je razvijen program,  sadržaji, metodologija obuke i matreijali koji mogu biti od pomoći nastavnicima</w:t>
      </w:r>
      <w:r>
        <w:rPr>
          <w:lang w:val="sr-Latn-RS"/>
        </w:rPr>
        <w:t>:</w:t>
      </w:r>
    </w:p>
    <w:p w14:paraId="66FB960C" w14:textId="77777777" w:rsidR="00930348" w:rsidRDefault="00930348" w:rsidP="007D59AA">
      <w:pPr>
        <w:spacing w:before="100" w:after="100" w:line="276" w:lineRule="auto"/>
        <w:jc w:val="both"/>
        <w:rPr>
          <w:lang w:val="sr-Latn-RS"/>
        </w:rPr>
      </w:pPr>
    </w:p>
    <w:p w14:paraId="1B2D318E" w14:textId="55359958" w:rsidR="003C7938" w:rsidRPr="007D59AA" w:rsidRDefault="007D59AA" w:rsidP="00B93E9A">
      <w:pPr>
        <w:pStyle w:val="ListParagraph"/>
        <w:numPr>
          <w:ilvl w:val="0"/>
          <w:numId w:val="18"/>
        </w:numPr>
        <w:spacing w:before="100" w:after="100" w:line="360" w:lineRule="auto"/>
        <w:ind w:left="371" w:hanging="371"/>
        <w:jc w:val="both"/>
        <w:rPr>
          <w:lang w:val="sr-Latn-RS"/>
        </w:rPr>
      </w:pPr>
      <w:r w:rsidRPr="007D59AA">
        <w:rPr>
          <w:lang w:val="sr-Latn-RS"/>
        </w:rPr>
        <w:t>Upoznavanje</w:t>
      </w:r>
      <w:r w:rsidR="003C7938" w:rsidRPr="007D59AA">
        <w:rPr>
          <w:lang w:val="sr-Latn-RS"/>
        </w:rPr>
        <w:t xml:space="preserve"> </w:t>
      </w:r>
      <w:r w:rsidRPr="007D59AA">
        <w:rPr>
          <w:lang w:val="sr-Latn-RS"/>
        </w:rPr>
        <w:t>Evropskog</w:t>
      </w:r>
      <w:r w:rsidR="003C7938" w:rsidRPr="007D59AA">
        <w:rPr>
          <w:lang w:val="sr-Latn-RS"/>
        </w:rPr>
        <w:t xml:space="preserve"> i C</w:t>
      </w:r>
      <w:r w:rsidRPr="007D59AA">
        <w:rPr>
          <w:lang w:val="sr-Latn-RS"/>
        </w:rPr>
        <w:t xml:space="preserve">rnogorskog okvira za ključne </w:t>
      </w:r>
      <w:r w:rsidR="003C7938" w:rsidRPr="007D59AA">
        <w:rPr>
          <w:lang w:val="sr-Latn-RS"/>
        </w:rPr>
        <w:t>kompetencije</w:t>
      </w:r>
      <w:r w:rsidR="00C13CF1">
        <w:rPr>
          <w:lang w:val="sr-Latn-RS"/>
        </w:rPr>
        <w:t>;</w:t>
      </w:r>
    </w:p>
    <w:p w14:paraId="75364B93" w14:textId="77777777" w:rsidR="00C13CF1" w:rsidRDefault="007D59AA" w:rsidP="00B93E9A">
      <w:pPr>
        <w:pStyle w:val="ListParagraph"/>
        <w:numPr>
          <w:ilvl w:val="0"/>
          <w:numId w:val="18"/>
        </w:numPr>
        <w:spacing w:before="100" w:after="100" w:line="360" w:lineRule="auto"/>
        <w:ind w:left="371" w:hanging="371"/>
        <w:jc w:val="both"/>
        <w:rPr>
          <w:lang w:val="sr-Latn-RS"/>
        </w:rPr>
      </w:pPr>
      <w:r w:rsidRPr="007D59AA">
        <w:rPr>
          <w:lang w:val="sr-Latn-RS"/>
        </w:rPr>
        <w:t>Motivisanje</w:t>
      </w:r>
      <w:r w:rsidR="003C7938" w:rsidRPr="007D59AA">
        <w:rPr>
          <w:lang w:val="sr-Latn-RS"/>
        </w:rPr>
        <w:t xml:space="preserve"> nastavnik</w:t>
      </w:r>
      <w:r w:rsidRPr="007D59AA">
        <w:rPr>
          <w:lang w:val="sr-Latn-RS"/>
        </w:rPr>
        <w:t>a za prime</w:t>
      </w:r>
      <w:r w:rsidR="003C7938" w:rsidRPr="007D59AA">
        <w:rPr>
          <w:lang w:val="sr-Latn-RS"/>
        </w:rPr>
        <w:t xml:space="preserve">nu  aktivnih strategija učenja i metoda podučavanja koje </w:t>
      </w:r>
      <w:r w:rsidR="003C7938" w:rsidRPr="007D59AA">
        <w:rPr>
          <w:lang w:val="sr-Latn-RS"/>
        </w:rPr>
        <w:lastRenderedPageBreak/>
        <w:t>su efikasne za obrazovanje za ključne kompetencije</w:t>
      </w:r>
      <w:r w:rsidR="00C13CF1">
        <w:rPr>
          <w:lang w:val="sr-Latn-RS"/>
        </w:rPr>
        <w:t>;</w:t>
      </w:r>
    </w:p>
    <w:p w14:paraId="0ABF2F20" w14:textId="3EFE3020" w:rsidR="007D59AA" w:rsidRPr="00C13CF1" w:rsidRDefault="007D59AA" w:rsidP="00B93E9A">
      <w:pPr>
        <w:pStyle w:val="ListParagraph"/>
        <w:numPr>
          <w:ilvl w:val="0"/>
          <w:numId w:val="18"/>
        </w:numPr>
        <w:spacing w:before="100" w:after="100" w:line="360" w:lineRule="auto"/>
        <w:ind w:left="371" w:hanging="371"/>
        <w:jc w:val="both"/>
        <w:rPr>
          <w:lang w:val="sr-Latn-RS"/>
        </w:rPr>
      </w:pPr>
      <w:r w:rsidRPr="00C13CF1">
        <w:rPr>
          <w:lang w:val="sr-Latn-RS"/>
        </w:rPr>
        <w:t>Predstavljanje</w:t>
      </w:r>
      <w:r w:rsidR="003C7938" w:rsidRPr="00C13CF1">
        <w:rPr>
          <w:lang w:val="sr-Latn-RS"/>
        </w:rPr>
        <w:t xml:space="preserve"> instrumen</w:t>
      </w:r>
      <w:r w:rsidRPr="00C13CF1">
        <w:rPr>
          <w:lang w:val="sr-Latn-RS"/>
        </w:rPr>
        <w:t>ata</w:t>
      </w:r>
      <w:r w:rsidR="003C7938" w:rsidRPr="00C13CF1">
        <w:rPr>
          <w:lang w:val="sr-Latn-RS"/>
        </w:rPr>
        <w:t xml:space="preserve"> za pripremu, sprovođenje i vrednovanje uspješne</w:t>
      </w:r>
      <w:r w:rsidRPr="00C13CF1">
        <w:rPr>
          <w:lang w:val="sr-Latn-RS"/>
        </w:rPr>
        <w:t xml:space="preserve"> </w:t>
      </w:r>
      <w:r w:rsidR="003C7938" w:rsidRPr="00C13CF1">
        <w:rPr>
          <w:lang w:val="sr-Latn-RS"/>
        </w:rPr>
        <w:t>nastave za ključne kompetencij</w:t>
      </w:r>
      <w:r w:rsidRPr="00C13CF1">
        <w:rPr>
          <w:lang w:val="sr-Latn-RS"/>
        </w:rPr>
        <w:t>e uz pomoć P</w:t>
      </w:r>
      <w:r w:rsidR="003C7938" w:rsidRPr="00C13CF1">
        <w:rPr>
          <w:lang w:val="sr-Latn-RS"/>
        </w:rPr>
        <w:t>riručnik</w:t>
      </w:r>
      <w:r w:rsidRPr="00C13CF1">
        <w:rPr>
          <w:lang w:val="sr-Latn-RS"/>
        </w:rPr>
        <w:t>a</w:t>
      </w:r>
      <w:r w:rsidR="003C7938" w:rsidRPr="00C13CF1">
        <w:rPr>
          <w:lang w:val="sr-Latn-RS"/>
        </w:rPr>
        <w:t xml:space="preserve"> za nastavnike</w:t>
      </w:r>
      <w:r w:rsidR="00C13CF1" w:rsidRPr="00C13CF1">
        <w:rPr>
          <w:lang w:val="sr-Latn-RS"/>
        </w:rPr>
        <w:t>;</w:t>
      </w:r>
    </w:p>
    <w:p w14:paraId="4C4934A4" w14:textId="3CCF62BF" w:rsidR="00C20B11" w:rsidRDefault="003C7938" w:rsidP="00B93E9A">
      <w:pPr>
        <w:pStyle w:val="ListParagraph"/>
        <w:numPr>
          <w:ilvl w:val="0"/>
          <w:numId w:val="19"/>
        </w:numPr>
        <w:spacing w:before="100" w:after="100" w:line="360" w:lineRule="auto"/>
        <w:ind w:left="851" w:hanging="11"/>
        <w:jc w:val="both"/>
        <w:rPr>
          <w:lang w:val="sr-Latn-RS"/>
        </w:rPr>
      </w:pPr>
      <w:r w:rsidRPr="007D59AA">
        <w:rPr>
          <w:lang w:val="sr-Latn-RS"/>
        </w:rPr>
        <w:t>metode i oblici</w:t>
      </w:r>
      <w:r w:rsidR="007D59AA" w:rsidRPr="007D59AA">
        <w:rPr>
          <w:lang w:val="sr-Latn-RS"/>
        </w:rPr>
        <w:t xml:space="preserve"> sp</w:t>
      </w:r>
      <w:r w:rsidRPr="007D59AA">
        <w:rPr>
          <w:lang w:val="sr-Latn-RS"/>
        </w:rPr>
        <w:t>rovođenja n</w:t>
      </w:r>
      <w:r w:rsidR="00C13CF1">
        <w:rPr>
          <w:lang w:val="sr-Latn-RS"/>
        </w:rPr>
        <w:t>astave za ključne kompetencije</w:t>
      </w:r>
    </w:p>
    <w:p w14:paraId="7522CD6B" w14:textId="4853A242" w:rsidR="00C20B11" w:rsidRDefault="003C7938" w:rsidP="00B93E9A">
      <w:pPr>
        <w:pStyle w:val="ListParagraph"/>
        <w:numPr>
          <w:ilvl w:val="0"/>
          <w:numId w:val="19"/>
        </w:numPr>
        <w:spacing w:before="100" w:after="100" w:line="360" w:lineRule="auto"/>
        <w:ind w:left="851" w:hanging="11"/>
        <w:jc w:val="both"/>
        <w:rPr>
          <w:lang w:val="sr-Latn-RS"/>
        </w:rPr>
      </w:pPr>
      <w:r w:rsidRPr="007D59AA">
        <w:rPr>
          <w:lang w:val="sr-Latn-RS"/>
        </w:rPr>
        <w:t xml:space="preserve">priprema za nastavu </w:t>
      </w:r>
      <w:r w:rsidR="007D59AA" w:rsidRPr="007D59AA">
        <w:rPr>
          <w:lang w:val="sr-Latn-RS"/>
        </w:rPr>
        <w:t>–</w:t>
      </w:r>
      <w:r w:rsidRPr="007D59AA">
        <w:rPr>
          <w:lang w:val="sr-Latn-RS"/>
        </w:rPr>
        <w:t xml:space="preserve"> godišnje</w:t>
      </w:r>
      <w:r w:rsidR="007D59AA" w:rsidRPr="007D59AA">
        <w:rPr>
          <w:lang w:val="sr-Latn-RS"/>
        </w:rPr>
        <w:t xml:space="preserve"> </w:t>
      </w:r>
      <w:r w:rsidR="00C20B11">
        <w:rPr>
          <w:lang w:val="sr-Latn-RS"/>
        </w:rPr>
        <w:t xml:space="preserve"> planiranje, scenario, tematsko planiranje</w:t>
      </w:r>
      <w:r w:rsidRPr="007D59AA">
        <w:rPr>
          <w:lang w:val="sr-Latn-RS"/>
        </w:rPr>
        <w:t xml:space="preserve"> </w:t>
      </w:r>
    </w:p>
    <w:p w14:paraId="3BB1DD5A" w14:textId="3EE721B0" w:rsidR="003C7938" w:rsidRPr="00930348" w:rsidRDefault="00C20B11" w:rsidP="00B93E9A">
      <w:pPr>
        <w:pStyle w:val="ListParagraph"/>
        <w:numPr>
          <w:ilvl w:val="0"/>
          <w:numId w:val="19"/>
        </w:numPr>
        <w:spacing w:before="100" w:after="100" w:line="360" w:lineRule="auto"/>
        <w:ind w:left="1418" w:hanging="567"/>
        <w:jc w:val="both"/>
        <w:rPr>
          <w:lang w:val="sr-Latn-RS"/>
        </w:rPr>
      </w:pPr>
      <w:r>
        <w:rPr>
          <w:lang w:val="sr-Latn-RS"/>
        </w:rPr>
        <w:t>indikatori kvaliteta, samoevaluaciju nastavnika,</w:t>
      </w:r>
      <w:r w:rsidR="003C7938" w:rsidRPr="007D59AA">
        <w:rPr>
          <w:lang w:val="sr-Latn-RS"/>
        </w:rPr>
        <w:t xml:space="preserve"> kolegijalno</w:t>
      </w:r>
      <w:r w:rsidR="007D59AA" w:rsidRPr="007D59AA">
        <w:rPr>
          <w:lang w:val="sr-Latn-RS"/>
        </w:rPr>
        <w:t xml:space="preserve"> p</w:t>
      </w:r>
      <w:r>
        <w:rPr>
          <w:lang w:val="sr-Latn-RS"/>
        </w:rPr>
        <w:t>osmatranje nastave</w:t>
      </w:r>
      <w:r w:rsidR="00C13CF1">
        <w:rPr>
          <w:lang w:val="sr-Latn-RS"/>
        </w:rPr>
        <w:t xml:space="preserve">, </w:t>
      </w:r>
      <w:r w:rsidR="003C7938" w:rsidRPr="00930348">
        <w:rPr>
          <w:lang w:val="sr-Latn-RS"/>
        </w:rPr>
        <w:t>učenikov</w:t>
      </w:r>
      <w:r w:rsidRPr="00930348">
        <w:rPr>
          <w:lang w:val="sr-Latn-RS"/>
        </w:rPr>
        <w:t>a</w:t>
      </w:r>
      <w:r w:rsidR="003C7938" w:rsidRPr="00930348">
        <w:rPr>
          <w:lang w:val="sr-Latn-RS"/>
        </w:rPr>
        <w:t xml:space="preserve"> sam</w:t>
      </w:r>
      <w:r w:rsidRPr="00930348">
        <w:rPr>
          <w:lang w:val="sr-Latn-RS"/>
        </w:rPr>
        <w:t>oproc</w:t>
      </w:r>
      <w:r w:rsidR="003C7938" w:rsidRPr="00930348">
        <w:rPr>
          <w:lang w:val="sr-Latn-RS"/>
        </w:rPr>
        <w:t>en</w:t>
      </w:r>
      <w:r w:rsidRPr="00930348">
        <w:rPr>
          <w:lang w:val="sr-Latn-RS"/>
        </w:rPr>
        <w:t>a</w:t>
      </w:r>
      <w:r w:rsidR="003C7938" w:rsidRPr="00930348">
        <w:rPr>
          <w:lang w:val="sr-Latn-RS"/>
        </w:rPr>
        <w:t xml:space="preserve"> naučenog; evaluacij</w:t>
      </w:r>
      <w:r w:rsidRPr="00930348">
        <w:rPr>
          <w:lang w:val="sr-Latn-RS"/>
        </w:rPr>
        <w:t>a</w:t>
      </w:r>
      <w:r w:rsidR="003C7938" w:rsidRPr="00930348">
        <w:rPr>
          <w:lang w:val="sr-Latn-RS"/>
        </w:rPr>
        <w:t xml:space="preserve"> održane </w:t>
      </w:r>
      <w:r w:rsidRPr="00930348">
        <w:rPr>
          <w:lang w:val="sr-Latn-RS"/>
        </w:rPr>
        <w:t>nastave</w:t>
      </w:r>
      <w:r w:rsidR="003C7938" w:rsidRPr="00930348">
        <w:rPr>
          <w:lang w:val="sr-Latn-RS"/>
        </w:rPr>
        <w:t xml:space="preserve">   </w:t>
      </w:r>
    </w:p>
    <w:p w14:paraId="7437E7C3" w14:textId="731F76FB" w:rsidR="00C20B11" w:rsidRPr="00930348" w:rsidRDefault="00C20B11" w:rsidP="00B93E9A">
      <w:pPr>
        <w:pStyle w:val="ListParagraph"/>
        <w:numPr>
          <w:ilvl w:val="0"/>
          <w:numId w:val="18"/>
        </w:numPr>
        <w:spacing w:before="100" w:after="100" w:line="360" w:lineRule="auto"/>
        <w:ind w:left="371" w:hanging="371"/>
        <w:jc w:val="both"/>
        <w:rPr>
          <w:lang w:val="sr-Latn-RS" w:bidi="ar-SA"/>
        </w:rPr>
      </w:pPr>
      <w:r w:rsidRPr="00930348">
        <w:rPr>
          <w:bCs/>
          <w:lang w:val="sr-Latn-RS" w:bidi="ar-SA"/>
        </w:rPr>
        <w:t xml:space="preserve">Prikazivanje dobrih primjera pripreme za nastavu koja uključuje ključne  kompetencije: </w:t>
      </w:r>
      <w:r w:rsidRPr="00930348">
        <w:rPr>
          <w:lang w:val="sr-Latn-RS" w:bidi="ar-SA"/>
        </w:rPr>
        <w:t xml:space="preserve"> (godišnje planiranje, individualno, scenario za čas – </w:t>
      </w:r>
      <w:r w:rsidRPr="00930348">
        <w:rPr>
          <w:iCs/>
          <w:lang w:val="sr-Latn-RS" w:bidi="ar-SA"/>
        </w:rPr>
        <w:t>na nivou jednog predmeta, na nivou više predmeta, na nivou škole, na nivou vannastavne ili vanškolske aktivnosti</w:t>
      </w:r>
      <w:r w:rsidRPr="00930348">
        <w:rPr>
          <w:i/>
          <w:iCs/>
          <w:lang w:val="sr-Latn-RS" w:bidi="ar-SA"/>
        </w:rPr>
        <w:t xml:space="preserve">) </w:t>
      </w:r>
      <w:r w:rsidRPr="00930348">
        <w:rPr>
          <w:bCs/>
          <w:lang w:val="sr-Latn-RS" w:bidi="ar-SA"/>
        </w:rPr>
        <w:t>sa opisom kako se svaka od k</w:t>
      </w:r>
      <w:r w:rsidR="00AA7FE2">
        <w:rPr>
          <w:bCs/>
          <w:lang w:val="sr-Latn-RS" w:bidi="ar-SA"/>
        </w:rPr>
        <w:t>ljučnih kompetencija može prim</w:t>
      </w:r>
      <w:r w:rsidRPr="00930348">
        <w:rPr>
          <w:bCs/>
          <w:lang w:val="sr-Latn-RS" w:bidi="ar-SA"/>
        </w:rPr>
        <w:t>eniti u STEM predmetima</w:t>
      </w:r>
      <w:r w:rsidR="00930348" w:rsidRPr="00930348">
        <w:rPr>
          <w:bCs/>
          <w:lang w:val="sr-Latn-RS" w:bidi="ar-SA"/>
        </w:rPr>
        <w:t>;</w:t>
      </w:r>
    </w:p>
    <w:p w14:paraId="0FA96724" w14:textId="0FFEC3C1" w:rsidR="00930348" w:rsidRPr="00930348" w:rsidRDefault="00C20B11" w:rsidP="00B93E9A">
      <w:pPr>
        <w:pStyle w:val="ListParagraph"/>
        <w:numPr>
          <w:ilvl w:val="0"/>
          <w:numId w:val="18"/>
        </w:numPr>
        <w:spacing w:before="100" w:after="100" w:line="360" w:lineRule="auto"/>
        <w:ind w:left="371" w:hanging="371"/>
        <w:jc w:val="both"/>
        <w:rPr>
          <w:lang w:val="sr-Latn-RS" w:bidi="ar-SA"/>
        </w:rPr>
      </w:pPr>
      <w:r w:rsidRPr="00930348">
        <w:rPr>
          <w:bCs/>
          <w:lang w:val="sr-Latn-RS" w:bidi="ar-SA"/>
        </w:rPr>
        <w:t>Izrada individualne ili grupne priprem</w:t>
      </w:r>
      <w:r w:rsidR="007D7D68">
        <w:rPr>
          <w:bCs/>
          <w:lang w:val="sr-Latn-RS" w:bidi="ar-SA"/>
        </w:rPr>
        <w:t>e</w:t>
      </w:r>
      <w:r w:rsidRPr="00930348">
        <w:rPr>
          <w:lang w:val="sr-Latn-RS" w:bidi="ar-SA"/>
        </w:rPr>
        <w:t xml:space="preserve"> </w:t>
      </w:r>
      <w:r w:rsidRPr="00930348">
        <w:rPr>
          <w:bCs/>
          <w:lang w:val="sr-Latn-RS" w:bidi="ar-SA"/>
        </w:rPr>
        <w:t xml:space="preserve">za postizanje ishoda ključnih kompetencija </w:t>
      </w:r>
      <w:r w:rsidR="00930348" w:rsidRPr="00930348">
        <w:rPr>
          <w:bCs/>
          <w:lang w:val="sr-Latn-RS" w:bidi="ar-SA"/>
        </w:rPr>
        <w:t xml:space="preserve">koja je </w:t>
      </w:r>
      <w:r w:rsidRPr="00930348">
        <w:rPr>
          <w:lang w:val="sr-Latn-RS" w:bidi="ar-SA"/>
        </w:rPr>
        <w:t>usklađenu s</w:t>
      </w:r>
      <w:r w:rsidR="00930348" w:rsidRPr="00930348">
        <w:rPr>
          <w:lang w:val="sr-Latn-RS" w:bidi="ar-SA"/>
        </w:rPr>
        <w:t>a</w:t>
      </w:r>
      <w:r w:rsidRPr="00930348">
        <w:rPr>
          <w:lang w:val="sr-Latn-RS" w:bidi="ar-SA"/>
        </w:rPr>
        <w:t xml:space="preserve"> ishodima predmeta i Godišnjim planom rada škole</w:t>
      </w:r>
      <w:r w:rsidR="00930348" w:rsidRPr="00930348">
        <w:rPr>
          <w:lang w:val="sr-Latn-RS" w:bidi="ar-SA"/>
        </w:rPr>
        <w:t>.</w:t>
      </w:r>
    </w:p>
    <w:p w14:paraId="434A9694" w14:textId="68077BC5" w:rsidR="007D7D68" w:rsidRDefault="007D7D68" w:rsidP="007D7D68">
      <w:pPr>
        <w:spacing w:before="100" w:after="100" w:line="360" w:lineRule="auto"/>
        <w:jc w:val="both"/>
        <w:rPr>
          <w:lang w:val="sr-Latn-RS" w:bidi="ar-SA"/>
        </w:rPr>
      </w:pPr>
      <w:r>
        <w:rPr>
          <w:lang w:val="sr-Latn-RS" w:bidi="ar-SA"/>
        </w:rPr>
        <w:t>Nakon prvog dela obuke, nastavnici će primeniti inovirani plan nastave i učenja sa namerom razvoja ishoda ključnih kompetencija</w:t>
      </w:r>
      <w:r w:rsidR="009B1647">
        <w:rPr>
          <w:lang w:val="sr-Latn-RS" w:bidi="ar-SA"/>
        </w:rPr>
        <w:t xml:space="preserve">, i </w:t>
      </w:r>
      <w:r>
        <w:rPr>
          <w:lang w:val="sr-Latn-RS" w:bidi="ar-SA"/>
        </w:rPr>
        <w:t>fo</w:t>
      </w:r>
      <w:r w:rsidRPr="007D7D68">
        <w:rPr>
          <w:lang w:val="sr-Latn-RS" w:bidi="ar-SA"/>
        </w:rPr>
        <w:t>rmativno ocjenjivanje učenika</w:t>
      </w:r>
      <w:r>
        <w:rPr>
          <w:lang w:val="sr-Latn-RS" w:bidi="ar-SA"/>
        </w:rPr>
        <w:t xml:space="preserve"> i evaluaciju </w:t>
      </w:r>
      <w:r w:rsidRPr="007D7D68">
        <w:rPr>
          <w:lang w:val="sr-Latn-RS" w:bidi="ar-SA"/>
        </w:rPr>
        <w:t>sprovedene  nastave</w:t>
      </w:r>
      <w:r>
        <w:rPr>
          <w:lang w:val="sr-Latn-RS" w:bidi="ar-SA"/>
        </w:rPr>
        <w:t>.</w:t>
      </w:r>
    </w:p>
    <w:p w14:paraId="2C43264B" w14:textId="1CCA34EE" w:rsidR="007D7D68" w:rsidRPr="00930348" w:rsidRDefault="007D7D68" w:rsidP="007D7D68">
      <w:pPr>
        <w:spacing w:before="100" w:after="100" w:line="360" w:lineRule="auto"/>
        <w:jc w:val="both"/>
        <w:rPr>
          <w:lang w:val="sr-Latn-RS" w:bidi="ar-SA"/>
        </w:rPr>
      </w:pPr>
      <w:r w:rsidRPr="007D7D68">
        <w:rPr>
          <w:lang w:val="sr-Latn-RS" w:bidi="ar-SA"/>
        </w:rPr>
        <w:t xml:space="preserve"> </w:t>
      </w:r>
      <w:r w:rsidRPr="00930348">
        <w:rPr>
          <w:lang w:val="sr-Latn-RS" w:bidi="ar-SA"/>
        </w:rPr>
        <w:t>Realizacija obuke će odvijat</w:t>
      </w:r>
      <w:r>
        <w:rPr>
          <w:lang w:val="sr-Latn-RS" w:bidi="ar-SA"/>
        </w:rPr>
        <w:t xml:space="preserve">i na daljinu, na ZOOM platformi, uz vođenje ključnih i </w:t>
      </w:r>
      <w:r w:rsidR="009B1647">
        <w:rPr>
          <w:lang w:val="sr-Latn-RS" w:bidi="ar-SA"/>
        </w:rPr>
        <w:t>kratkoročnih ekperata projekta, prvi dan plenarno sa većim brojem nastavnika, i drugi dan, posle razmaka od nedelju dana, u manjim grupama po 20 učesnika, gde će vreme biti posvečeno grupnom radu i razvoju primera časa i pristupa koji uključuju ishode ključnih kompetencija</w:t>
      </w:r>
      <w:r w:rsidR="00C244A7">
        <w:rPr>
          <w:lang w:val="sr-Latn-RS" w:bidi="ar-SA"/>
        </w:rPr>
        <w:t xml:space="preserve"> i opis aktivnosti i metoda koje će koristiti</w:t>
      </w:r>
      <w:r w:rsidR="009B1647">
        <w:rPr>
          <w:lang w:val="sr-Latn-RS" w:bidi="ar-SA"/>
        </w:rPr>
        <w:t xml:space="preserve">. Nastavnici su obavezani da svoje uradke </w:t>
      </w:r>
      <w:r w:rsidR="009B1647" w:rsidRPr="007D7D68">
        <w:rPr>
          <w:lang w:val="sr-Latn-RS" w:bidi="ar-SA"/>
        </w:rPr>
        <w:t>za svaku od realizovanih  aktivnosti</w:t>
      </w:r>
      <w:r w:rsidR="009B1647">
        <w:rPr>
          <w:lang w:val="sr-Latn-RS" w:bidi="ar-SA"/>
        </w:rPr>
        <w:t xml:space="preserve"> aploduju voditeljima obuke, kako bi dobili povratne informacije. </w:t>
      </w:r>
    </w:p>
    <w:p w14:paraId="306C4A68" w14:textId="18E13062" w:rsidR="00C13CF1" w:rsidRPr="00AA7FE2" w:rsidRDefault="00163F94" w:rsidP="00B93E9A">
      <w:pPr>
        <w:spacing w:before="100" w:after="100" w:line="360" w:lineRule="auto"/>
        <w:jc w:val="both"/>
        <w:rPr>
          <w:lang w:val="sr-Latn-RS" w:bidi="ar-SA"/>
        </w:rPr>
      </w:pPr>
      <w:r>
        <w:rPr>
          <w:lang w:val="sr-Latn-RS" w:bidi="ar-SA"/>
        </w:rPr>
        <w:t>U cilju osiguranja kvaliteta i merenja d</w:t>
      </w:r>
      <w:r w:rsidR="00930348" w:rsidRPr="00930348">
        <w:rPr>
          <w:lang w:val="sr-Latn-RS" w:bidi="ar-SA"/>
        </w:rPr>
        <w:t>elotvornosti obuke</w:t>
      </w:r>
      <w:r>
        <w:rPr>
          <w:lang w:val="sr-Latn-RS" w:bidi="ar-SA"/>
        </w:rPr>
        <w:t xml:space="preserve"> planiran je izbor </w:t>
      </w:r>
      <w:r w:rsidRPr="00AA7FE2">
        <w:rPr>
          <w:lang w:val="sr-Latn-RS" w:bidi="ar-SA"/>
        </w:rPr>
        <w:t xml:space="preserve">najuspješnijih primera </w:t>
      </w:r>
      <w:r w:rsidR="00E262BF" w:rsidRPr="00AA7FE2">
        <w:rPr>
          <w:lang w:val="sr-Latn-RS" w:bidi="ar-SA"/>
        </w:rPr>
        <w:t xml:space="preserve">priprema nastave, projekata i </w:t>
      </w:r>
      <w:r w:rsidRPr="00AA7FE2">
        <w:rPr>
          <w:lang w:val="sr-Latn-RS" w:bidi="ar-SA"/>
        </w:rPr>
        <w:t xml:space="preserve">aktivnosti </w:t>
      </w:r>
      <w:r w:rsidR="00853337" w:rsidRPr="00AA7FE2">
        <w:rPr>
          <w:lang w:val="sr-Latn-RS" w:bidi="ar-SA"/>
        </w:rPr>
        <w:t>koje će biti predstavljene u okviru Priručnika za nastavnike.</w:t>
      </w:r>
      <w:r w:rsidRPr="00AA7FE2">
        <w:rPr>
          <w:lang w:val="sr-Latn-RS" w:bidi="ar-SA"/>
        </w:rPr>
        <w:t xml:space="preserve"> </w:t>
      </w:r>
    </w:p>
    <w:p w14:paraId="4398E570" w14:textId="77777777" w:rsidR="00C20B11" w:rsidRPr="00930348" w:rsidRDefault="00C20B11" w:rsidP="00AA7FE2">
      <w:pPr>
        <w:pStyle w:val="ListParagraph"/>
        <w:spacing w:before="100" w:after="100" w:line="276" w:lineRule="auto"/>
        <w:ind w:left="720"/>
        <w:jc w:val="right"/>
        <w:rPr>
          <w:lang w:val="sr-Latn-RS"/>
        </w:rPr>
      </w:pPr>
    </w:p>
    <w:sectPr w:rsidR="00C20B11" w:rsidRPr="00930348" w:rsidSect="00163F94">
      <w:headerReference w:type="default" r:id="rId13"/>
      <w:footerReference w:type="default" r:id="rId14"/>
      <w:footerReference w:type="first" r:id="rId15"/>
      <w:pgSz w:w="11910" w:h="16840"/>
      <w:pgMar w:top="1440" w:right="1440" w:bottom="1440" w:left="1440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4F15B" w14:textId="77777777" w:rsidR="004B0A3E" w:rsidRDefault="004B0A3E" w:rsidP="00C13B02">
      <w:r>
        <w:separator/>
      </w:r>
    </w:p>
  </w:endnote>
  <w:endnote w:type="continuationSeparator" w:id="0">
    <w:p w14:paraId="18357682" w14:textId="77777777" w:rsidR="004B0A3E" w:rsidRDefault="004B0A3E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5C4B4" w14:textId="77777777" w:rsidR="005F46DF" w:rsidRDefault="005F46DF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0DCBF1" w14:textId="77777777" w:rsidR="005F46DF" w:rsidRDefault="005F46DF" w:rsidP="00A022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159E1" w14:textId="584B91F5" w:rsidR="005F46DF" w:rsidRPr="00EE64B0" w:rsidRDefault="00F873DE" w:rsidP="00EE64B0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F873DE">
      <w:rPr>
        <w:b/>
        <w:noProof/>
        <w:color w:val="595959" w:themeColor="text1" w:themeTint="A6"/>
        <w:sz w:val="16"/>
        <w:szCs w:val="16"/>
      </w:rPr>
      <w:t>Integracija ključnih kompetencija u obrazovni sistem Crne Gore</w:t>
    </w:r>
    <w:r>
      <w:rPr>
        <w:b/>
        <w:noProof/>
        <w:color w:val="595959" w:themeColor="text1" w:themeTint="A6"/>
        <w:sz w:val="16"/>
        <w:szCs w:val="16"/>
      </w:rPr>
      <w:t xml:space="preserve">, </w:t>
    </w:r>
    <w:hyperlink r:id="rId1" w:history="1">
      <w:r w:rsidRPr="00961078">
        <w:rPr>
          <w:rStyle w:val="Hyperlink"/>
          <w:b/>
          <w:noProof/>
          <w:sz w:val="16"/>
          <w:szCs w:val="16"/>
        </w:rPr>
        <w:t>www.ikces.me</w:t>
      </w:r>
    </w:hyperlink>
    <w:r>
      <w:rPr>
        <w:b/>
        <w:noProof/>
        <w:color w:val="595959" w:themeColor="text1" w:themeTint="A6"/>
        <w:sz w:val="16"/>
        <w:szCs w:val="16"/>
      </w:rPr>
      <w:t xml:space="preserve"> </w:t>
    </w:r>
    <w:r w:rsidR="005F46DF"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05CD39BD" w14:textId="2DA90DB3" w:rsidR="005F46DF" w:rsidRPr="00EE64B0" w:rsidRDefault="005F46DF" w:rsidP="00EE64B0">
    <w:pPr>
      <w:pStyle w:val="Footer"/>
      <w:ind w:left="-90"/>
      <w:rPr>
        <w:b/>
        <w:noProof/>
        <w:color w:val="595959" w:themeColor="text1" w:themeTint="A6"/>
        <w:sz w:val="18"/>
        <w:szCs w:val="18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</w:t>
    </w:r>
    <w:r w:rsidR="001F25B5">
      <w:rPr>
        <w:b/>
        <w:noProof/>
        <w:color w:val="595959" w:themeColor="text1" w:themeTint="A6"/>
        <w:sz w:val="16"/>
        <w:szCs w:val="16"/>
      </w:rPr>
      <w:t>Đ</w:t>
    </w:r>
    <w:r w:rsidRPr="00EE64B0">
      <w:rPr>
        <w:b/>
        <w:noProof/>
        <w:color w:val="595959" w:themeColor="text1" w:themeTint="A6"/>
        <w:sz w:val="16"/>
        <w:szCs w:val="16"/>
      </w:rPr>
      <w:t>urovi</w:t>
    </w:r>
    <w:r w:rsidR="001F25B5">
      <w:rPr>
        <w:b/>
        <w:noProof/>
        <w:color w:val="595959" w:themeColor="text1" w:themeTint="A6"/>
        <w:sz w:val="16"/>
        <w:szCs w:val="16"/>
      </w:rPr>
      <w:t>ć</w:t>
    </w:r>
    <w:r w:rsidRPr="00EE64B0">
      <w:rPr>
        <w:b/>
        <w:noProof/>
        <w:color w:val="595959" w:themeColor="text1" w:themeTint="A6"/>
        <w:sz w:val="16"/>
        <w:szCs w:val="16"/>
      </w:rPr>
      <w:t xml:space="preserve">a bb/I, 81000 Podgorica, </w:t>
    </w:r>
    <w:r w:rsidR="00F873DE">
      <w:rPr>
        <w:b/>
        <w:noProof/>
        <w:color w:val="595959" w:themeColor="text1" w:themeTint="A6"/>
        <w:sz w:val="16"/>
        <w:szCs w:val="16"/>
      </w:rPr>
      <w:t>T</w:t>
    </w:r>
    <w:r w:rsidRPr="00EE64B0">
      <w:rPr>
        <w:b/>
        <w:noProof/>
        <w:color w:val="595959" w:themeColor="text1" w:themeTint="A6"/>
        <w:sz w:val="16"/>
        <w:szCs w:val="16"/>
      </w:rPr>
      <w:t xml:space="preserve">: +382 20 408 937, E-m: </w:t>
    </w:r>
    <w:hyperlink r:id="rId2" w:history="1">
      <w:r w:rsidR="00F873DE" w:rsidRPr="00961078">
        <w:rPr>
          <w:rStyle w:val="Hyperlink"/>
          <w:b/>
          <w:noProof/>
          <w:sz w:val="16"/>
          <w:szCs w:val="16"/>
        </w:rPr>
        <w:t>m.nikcevic@eprd.pl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2D2CBD9C" w14:textId="17DF5163" w:rsidR="005F46DF" w:rsidRDefault="005F46DF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B703D" w14:textId="77777777" w:rsidR="005F46DF" w:rsidRPr="00A0224C" w:rsidRDefault="005F46DF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316DFFF2" w14:textId="4AE1F8CD" w:rsidR="005F46DF" w:rsidRDefault="005F46DF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2DFE5" w14:textId="77777777" w:rsidR="005F46DF" w:rsidRDefault="005F46DF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6A1F">
      <w:rPr>
        <w:rStyle w:val="PageNumber"/>
        <w:noProof/>
      </w:rPr>
      <w:t>7</w:t>
    </w:r>
    <w:r>
      <w:rPr>
        <w:rStyle w:val="PageNumber"/>
      </w:rPr>
      <w:fldChar w:fldCharType="end"/>
    </w:r>
  </w:p>
  <w:p w14:paraId="0B1F12A6" w14:textId="77777777" w:rsidR="005F46DF" w:rsidRDefault="005F46DF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5F46DF" w:rsidRDefault="005F46DF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427CB" w14:textId="77777777" w:rsidR="005F46DF" w:rsidRPr="00A0224C" w:rsidRDefault="005F46DF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F421DF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77777777" w:rsidR="005F46DF" w:rsidRDefault="005F46DF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92E2C" w14:textId="77777777" w:rsidR="004B0A3E" w:rsidRDefault="004B0A3E" w:rsidP="00C13B02">
      <w:r>
        <w:separator/>
      </w:r>
    </w:p>
  </w:footnote>
  <w:footnote w:type="continuationSeparator" w:id="0">
    <w:p w14:paraId="1BF335B6" w14:textId="77777777" w:rsidR="004B0A3E" w:rsidRDefault="004B0A3E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C6EA4" w14:textId="77777777" w:rsidR="005F46DF" w:rsidRDefault="005F46DF" w:rsidP="001428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EBD7A3" w14:textId="77777777" w:rsidR="005F46DF" w:rsidRDefault="005F46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4ECAD" w14:textId="77777777" w:rsidR="005F46DF" w:rsidRDefault="005F46DF" w:rsidP="00664EA6">
    <w:pPr>
      <w:pStyle w:val="Header"/>
      <w:rPr>
        <w:noProof/>
      </w:rPr>
    </w:pPr>
    <w:r>
      <w:rPr>
        <w:noProof/>
        <w:lang w:val="en-GB" w:eastAsia="en-GB" w:bidi="ar-SA"/>
      </w:rPr>
      <w:drawing>
        <wp:anchor distT="0" distB="0" distL="114300" distR="114300" simplePos="0" relativeHeight="251657216" behindDoc="1" locked="0" layoutInCell="1" allowOverlap="1" wp14:anchorId="78EF91F9" wp14:editId="356162AE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5F46DF" w:rsidRPr="00664EA6" w:rsidRDefault="005F46DF" w:rsidP="00664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88658" w14:textId="6764EC3F" w:rsidR="005F46DF" w:rsidRPr="00876CE6" w:rsidRDefault="005F46DF" w:rsidP="00041F43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3E5"/>
    <w:multiLevelType w:val="hybridMultilevel"/>
    <w:tmpl w:val="9A2C3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57A7B"/>
    <w:multiLevelType w:val="hybridMultilevel"/>
    <w:tmpl w:val="380EB9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A5E2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461041A"/>
    <w:multiLevelType w:val="hybridMultilevel"/>
    <w:tmpl w:val="18A6D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4196B"/>
    <w:multiLevelType w:val="hybridMultilevel"/>
    <w:tmpl w:val="A98AB7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E8"/>
    <w:multiLevelType w:val="hybridMultilevel"/>
    <w:tmpl w:val="A9D6F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7A036D7"/>
    <w:multiLevelType w:val="hybridMultilevel"/>
    <w:tmpl w:val="6DDE5EB4"/>
    <w:lvl w:ilvl="0" w:tplc="2E829768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C65E2"/>
    <w:multiLevelType w:val="hybridMultilevel"/>
    <w:tmpl w:val="D942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C4F53"/>
    <w:multiLevelType w:val="hybridMultilevel"/>
    <w:tmpl w:val="ADA8B1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37BBA"/>
    <w:multiLevelType w:val="hybridMultilevel"/>
    <w:tmpl w:val="1AB62A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C1065"/>
    <w:multiLevelType w:val="hybridMultilevel"/>
    <w:tmpl w:val="68D2E1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21D98"/>
    <w:multiLevelType w:val="hybridMultilevel"/>
    <w:tmpl w:val="00DC6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74FCE"/>
    <w:multiLevelType w:val="hybridMultilevel"/>
    <w:tmpl w:val="CF4E6C4C"/>
    <w:lvl w:ilvl="0" w:tplc="08090005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8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713423"/>
    <w:multiLevelType w:val="hybridMultilevel"/>
    <w:tmpl w:val="F6443146"/>
    <w:lvl w:ilvl="0" w:tplc="AB8A4A5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5A71D6"/>
    <w:multiLevelType w:val="hybridMultilevel"/>
    <w:tmpl w:val="ECBEE9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B05B6"/>
    <w:multiLevelType w:val="hybridMultilevel"/>
    <w:tmpl w:val="6868F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653DA"/>
    <w:multiLevelType w:val="hybridMultilevel"/>
    <w:tmpl w:val="A29E18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0502E"/>
    <w:multiLevelType w:val="hybridMultilevel"/>
    <w:tmpl w:val="E4CAA5E6"/>
    <w:lvl w:ilvl="0" w:tplc="2E829768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81EA7"/>
    <w:multiLevelType w:val="hybridMultilevel"/>
    <w:tmpl w:val="2F649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04A12"/>
    <w:multiLevelType w:val="hybridMultilevel"/>
    <w:tmpl w:val="9CE0CB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8"/>
  </w:num>
  <w:num w:numId="5">
    <w:abstractNumId w:val="7"/>
  </w:num>
  <w:num w:numId="6">
    <w:abstractNumId w:val="16"/>
  </w:num>
  <w:num w:numId="7">
    <w:abstractNumId w:val="2"/>
  </w:num>
  <w:num w:numId="8">
    <w:abstractNumId w:val="19"/>
  </w:num>
  <w:num w:numId="9">
    <w:abstractNumId w:val="0"/>
  </w:num>
  <w:num w:numId="10">
    <w:abstractNumId w:val="10"/>
  </w:num>
  <w:num w:numId="11">
    <w:abstractNumId w:val="25"/>
  </w:num>
  <w:num w:numId="12">
    <w:abstractNumId w:val="1"/>
  </w:num>
  <w:num w:numId="13">
    <w:abstractNumId w:val="24"/>
  </w:num>
  <w:num w:numId="14">
    <w:abstractNumId w:val="3"/>
  </w:num>
  <w:num w:numId="15">
    <w:abstractNumId w:val="6"/>
  </w:num>
  <w:num w:numId="16">
    <w:abstractNumId w:val="9"/>
  </w:num>
  <w:num w:numId="17">
    <w:abstractNumId w:val="22"/>
  </w:num>
  <w:num w:numId="18">
    <w:abstractNumId w:val="13"/>
  </w:num>
  <w:num w:numId="19">
    <w:abstractNumId w:val="17"/>
  </w:num>
  <w:num w:numId="20">
    <w:abstractNumId w:val="14"/>
  </w:num>
  <w:num w:numId="21">
    <w:abstractNumId w:val="26"/>
  </w:num>
  <w:num w:numId="22">
    <w:abstractNumId w:val="11"/>
  </w:num>
  <w:num w:numId="23">
    <w:abstractNumId w:val="23"/>
  </w:num>
  <w:num w:numId="24">
    <w:abstractNumId w:val="15"/>
  </w:num>
  <w:num w:numId="25">
    <w:abstractNumId w:val="5"/>
  </w:num>
  <w:num w:numId="26">
    <w:abstractNumId w:val="21"/>
  </w:num>
  <w:num w:numId="2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03BCC"/>
    <w:rsid w:val="000047EA"/>
    <w:rsid w:val="00013A9B"/>
    <w:rsid w:val="0001748C"/>
    <w:rsid w:val="000351C8"/>
    <w:rsid w:val="00041F43"/>
    <w:rsid w:val="00044165"/>
    <w:rsid w:val="00046CB2"/>
    <w:rsid w:val="00050016"/>
    <w:rsid w:val="000500D1"/>
    <w:rsid w:val="00085B55"/>
    <w:rsid w:val="00090FAD"/>
    <w:rsid w:val="0009173A"/>
    <w:rsid w:val="00091D79"/>
    <w:rsid w:val="000A0B2B"/>
    <w:rsid w:val="000A435D"/>
    <w:rsid w:val="000A58A9"/>
    <w:rsid w:val="000B7394"/>
    <w:rsid w:val="000F0158"/>
    <w:rsid w:val="00105E62"/>
    <w:rsid w:val="00111437"/>
    <w:rsid w:val="0011459A"/>
    <w:rsid w:val="00115EC2"/>
    <w:rsid w:val="0013289A"/>
    <w:rsid w:val="001428AA"/>
    <w:rsid w:val="00163F94"/>
    <w:rsid w:val="00170A75"/>
    <w:rsid w:val="00193D2E"/>
    <w:rsid w:val="00193E5B"/>
    <w:rsid w:val="001C7E17"/>
    <w:rsid w:val="001E4249"/>
    <w:rsid w:val="001E7D2D"/>
    <w:rsid w:val="001F027B"/>
    <w:rsid w:val="001F1D48"/>
    <w:rsid w:val="001F25B5"/>
    <w:rsid w:val="00206391"/>
    <w:rsid w:val="002105E7"/>
    <w:rsid w:val="00213560"/>
    <w:rsid w:val="00215A9D"/>
    <w:rsid w:val="002235AE"/>
    <w:rsid w:val="00224A03"/>
    <w:rsid w:val="00233C91"/>
    <w:rsid w:val="0023794D"/>
    <w:rsid w:val="00243016"/>
    <w:rsid w:val="002848FF"/>
    <w:rsid w:val="00290429"/>
    <w:rsid w:val="00291506"/>
    <w:rsid w:val="002A103B"/>
    <w:rsid w:val="002A23C3"/>
    <w:rsid w:val="002C2339"/>
    <w:rsid w:val="002C3F36"/>
    <w:rsid w:val="002C5AD0"/>
    <w:rsid w:val="002D06C2"/>
    <w:rsid w:val="002D1AA0"/>
    <w:rsid w:val="002E00F3"/>
    <w:rsid w:val="002E0163"/>
    <w:rsid w:val="002F5D7A"/>
    <w:rsid w:val="002F66A2"/>
    <w:rsid w:val="00300D73"/>
    <w:rsid w:val="00306143"/>
    <w:rsid w:val="00344A1D"/>
    <w:rsid w:val="00360441"/>
    <w:rsid w:val="003637F7"/>
    <w:rsid w:val="00365C4B"/>
    <w:rsid w:val="003665E7"/>
    <w:rsid w:val="003B0B93"/>
    <w:rsid w:val="003B53C4"/>
    <w:rsid w:val="003B6226"/>
    <w:rsid w:val="003C39A3"/>
    <w:rsid w:val="003C7938"/>
    <w:rsid w:val="003D4A7C"/>
    <w:rsid w:val="003E4101"/>
    <w:rsid w:val="003F6584"/>
    <w:rsid w:val="00400542"/>
    <w:rsid w:val="00400ED7"/>
    <w:rsid w:val="00402FC8"/>
    <w:rsid w:val="004054F6"/>
    <w:rsid w:val="00405FC4"/>
    <w:rsid w:val="00413BD5"/>
    <w:rsid w:val="00424382"/>
    <w:rsid w:val="00425775"/>
    <w:rsid w:val="0043778C"/>
    <w:rsid w:val="00472A79"/>
    <w:rsid w:val="004766BC"/>
    <w:rsid w:val="00496EFE"/>
    <w:rsid w:val="004A3EAC"/>
    <w:rsid w:val="004B0A3E"/>
    <w:rsid w:val="004D0868"/>
    <w:rsid w:val="004D293A"/>
    <w:rsid w:val="004D5A83"/>
    <w:rsid w:val="004E3A8D"/>
    <w:rsid w:val="005108C7"/>
    <w:rsid w:val="00512ECF"/>
    <w:rsid w:val="005165E8"/>
    <w:rsid w:val="00516D80"/>
    <w:rsid w:val="0055086A"/>
    <w:rsid w:val="005665AA"/>
    <w:rsid w:val="005724DA"/>
    <w:rsid w:val="00574233"/>
    <w:rsid w:val="00590EF8"/>
    <w:rsid w:val="005A55B1"/>
    <w:rsid w:val="005C4995"/>
    <w:rsid w:val="005D14DC"/>
    <w:rsid w:val="005D32F2"/>
    <w:rsid w:val="005D48E6"/>
    <w:rsid w:val="005D5C04"/>
    <w:rsid w:val="005E729D"/>
    <w:rsid w:val="005F1F6A"/>
    <w:rsid w:val="005F46DF"/>
    <w:rsid w:val="005F73C3"/>
    <w:rsid w:val="00602958"/>
    <w:rsid w:val="006237BE"/>
    <w:rsid w:val="00624B13"/>
    <w:rsid w:val="006357D0"/>
    <w:rsid w:val="00641FDF"/>
    <w:rsid w:val="00651AF9"/>
    <w:rsid w:val="00664EA6"/>
    <w:rsid w:val="00674343"/>
    <w:rsid w:val="00674D22"/>
    <w:rsid w:val="006812EF"/>
    <w:rsid w:val="00687A5D"/>
    <w:rsid w:val="00692DE8"/>
    <w:rsid w:val="006A2074"/>
    <w:rsid w:val="006B289F"/>
    <w:rsid w:val="006B31BB"/>
    <w:rsid w:val="006C485C"/>
    <w:rsid w:val="006C57AF"/>
    <w:rsid w:val="006C7E07"/>
    <w:rsid w:val="006D135A"/>
    <w:rsid w:val="006D2824"/>
    <w:rsid w:val="006E0BFA"/>
    <w:rsid w:val="006F5F13"/>
    <w:rsid w:val="006F696F"/>
    <w:rsid w:val="006F7479"/>
    <w:rsid w:val="0070772D"/>
    <w:rsid w:val="0071400C"/>
    <w:rsid w:val="00716753"/>
    <w:rsid w:val="007177CA"/>
    <w:rsid w:val="00731C6E"/>
    <w:rsid w:val="007466F2"/>
    <w:rsid w:val="00747AE7"/>
    <w:rsid w:val="00784814"/>
    <w:rsid w:val="00796829"/>
    <w:rsid w:val="007C05CF"/>
    <w:rsid w:val="007D59AA"/>
    <w:rsid w:val="007D7D68"/>
    <w:rsid w:val="007F3358"/>
    <w:rsid w:val="008015C6"/>
    <w:rsid w:val="00811D89"/>
    <w:rsid w:val="0083725E"/>
    <w:rsid w:val="008431E5"/>
    <w:rsid w:val="008504E4"/>
    <w:rsid w:val="0085266C"/>
    <w:rsid w:val="00853337"/>
    <w:rsid w:val="00873C95"/>
    <w:rsid w:val="00876CE6"/>
    <w:rsid w:val="008771D6"/>
    <w:rsid w:val="00885D23"/>
    <w:rsid w:val="008A0BF8"/>
    <w:rsid w:val="008A6617"/>
    <w:rsid w:val="008B299E"/>
    <w:rsid w:val="008C10A2"/>
    <w:rsid w:val="008C6701"/>
    <w:rsid w:val="008D0E3F"/>
    <w:rsid w:val="008E4A63"/>
    <w:rsid w:val="008F00C2"/>
    <w:rsid w:val="009022B7"/>
    <w:rsid w:val="00904A3E"/>
    <w:rsid w:val="009068C2"/>
    <w:rsid w:val="00911B13"/>
    <w:rsid w:val="00917A81"/>
    <w:rsid w:val="00921070"/>
    <w:rsid w:val="009252F5"/>
    <w:rsid w:val="00927F70"/>
    <w:rsid w:val="00930348"/>
    <w:rsid w:val="0095403D"/>
    <w:rsid w:val="009779AC"/>
    <w:rsid w:val="00995F7D"/>
    <w:rsid w:val="009B1647"/>
    <w:rsid w:val="009B5FBE"/>
    <w:rsid w:val="009C771D"/>
    <w:rsid w:val="009D132E"/>
    <w:rsid w:val="009D3B30"/>
    <w:rsid w:val="009E5D6D"/>
    <w:rsid w:val="00A0110D"/>
    <w:rsid w:val="00A0224C"/>
    <w:rsid w:val="00A175CB"/>
    <w:rsid w:val="00A232A2"/>
    <w:rsid w:val="00A31107"/>
    <w:rsid w:val="00A31C15"/>
    <w:rsid w:val="00A36EBD"/>
    <w:rsid w:val="00A432BB"/>
    <w:rsid w:val="00A526FF"/>
    <w:rsid w:val="00A54FB3"/>
    <w:rsid w:val="00A66451"/>
    <w:rsid w:val="00A72232"/>
    <w:rsid w:val="00A92328"/>
    <w:rsid w:val="00A9459D"/>
    <w:rsid w:val="00AA4E66"/>
    <w:rsid w:val="00AA577C"/>
    <w:rsid w:val="00AA7669"/>
    <w:rsid w:val="00AA7FE2"/>
    <w:rsid w:val="00AB0982"/>
    <w:rsid w:val="00AB10B1"/>
    <w:rsid w:val="00AB5F42"/>
    <w:rsid w:val="00AB7E7A"/>
    <w:rsid w:val="00AC7F33"/>
    <w:rsid w:val="00AE483F"/>
    <w:rsid w:val="00B1103E"/>
    <w:rsid w:val="00B21992"/>
    <w:rsid w:val="00B32DFF"/>
    <w:rsid w:val="00B340FD"/>
    <w:rsid w:val="00B449B2"/>
    <w:rsid w:val="00B44D88"/>
    <w:rsid w:val="00B46AF4"/>
    <w:rsid w:val="00B523E6"/>
    <w:rsid w:val="00B53170"/>
    <w:rsid w:val="00B531D4"/>
    <w:rsid w:val="00B534C3"/>
    <w:rsid w:val="00B807DC"/>
    <w:rsid w:val="00B81C34"/>
    <w:rsid w:val="00B87EAD"/>
    <w:rsid w:val="00B92135"/>
    <w:rsid w:val="00B93E9A"/>
    <w:rsid w:val="00BB3FBB"/>
    <w:rsid w:val="00BB647F"/>
    <w:rsid w:val="00BC767A"/>
    <w:rsid w:val="00BD05D7"/>
    <w:rsid w:val="00BD13AB"/>
    <w:rsid w:val="00BE1CC4"/>
    <w:rsid w:val="00BF3F2D"/>
    <w:rsid w:val="00BF76AA"/>
    <w:rsid w:val="00BF7F25"/>
    <w:rsid w:val="00C02C7D"/>
    <w:rsid w:val="00C13671"/>
    <w:rsid w:val="00C13B02"/>
    <w:rsid w:val="00C13CF1"/>
    <w:rsid w:val="00C15A99"/>
    <w:rsid w:val="00C16838"/>
    <w:rsid w:val="00C20B11"/>
    <w:rsid w:val="00C244A7"/>
    <w:rsid w:val="00C27DA3"/>
    <w:rsid w:val="00C37A51"/>
    <w:rsid w:val="00C4224C"/>
    <w:rsid w:val="00C44E40"/>
    <w:rsid w:val="00C9517E"/>
    <w:rsid w:val="00CC3CC1"/>
    <w:rsid w:val="00CF0D9F"/>
    <w:rsid w:val="00CF27B4"/>
    <w:rsid w:val="00CF29B1"/>
    <w:rsid w:val="00D279B7"/>
    <w:rsid w:val="00D36368"/>
    <w:rsid w:val="00D50BF3"/>
    <w:rsid w:val="00D52940"/>
    <w:rsid w:val="00D57251"/>
    <w:rsid w:val="00DA61EB"/>
    <w:rsid w:val="00DA7E3C"/>
    <w:rsid w:val="00DB0760"/>
    <w:rsid w:val="00DD6887"/>
    <w:rsid w:val="00DE4F73"/>
    <w:rsid w:val="00DE565C"/>
    <w:rsid w:val="00DE7C92"/>
    <w:rsid w:val="00DF0AA1"/>
    <w:rsid w:val="00E0271A"/>
    <w:rsid w:val="00E200A7"/>
    <w:rsid w:val="00E23C39"/>
    <w:rsid w:val="00E262BF"/>
    <w:rsid w:val="00E352B7"/>
    <w:rsid w:val="00E44B9F"/>
    <w:rsid w:val="00E51CF0"/>
    <w:rsid w:val="00E560F4"/>
    <w:rsid w:val="00E57A8F"/>
    <w:rsid w:val="00E71DDD"/>
    <w:rsid w:val="00E76A94"/>
    <w:rsid w:val="00E85592"/>
    <w:rsid w:val="00E92BAC"/>
    <w:rsid w:val="00EA00EF"/>
    <w:rsid w:val="00EA0FF8"/>
    <w:rsid w:val="00EA2E64"/>
    <w:rsid w:val="00EA3AF0"/>
    <w:rsid w:val="00EA4974"/>
    <w:rsid w:val="00EA6A1F"/>
    <w:rsid w:val="00EE4E17"/>
    <w:rsid w:val="00EE64B0"/>
    <w:rsid w:val="00F00848"/>
    <w:rsid w:val="00F11E88"/>
    <w:rsid w:val="00F13B49"/>
    <w:rsid w:val="00F20F71"/>
    <w:rsid w:val="00F350E3"/>
    <w:rsid w:val="00F409DE"/>
    <w:rsid w:val="00F421DF"/>
    <w:rsid w:val="00F464BE"/>
    <w:rsid w:val="00F55854"/>
    <w:rsid w:val="00F60A23"/>
    <w:rsid w:val="00F65474"/>
    <w:rsid w:val="00F71DDA"/>
    <w:rsid w:val="00F82AF5"/>
    <w:rsid w:val="00F873DE"/>
    <w:rsid w:val="00F878B9"/>
    <w:rsid w:val="00F94BF7"/>
    <w:rsid w:val="00F953F2"/>
    <w:rsid w:val="00F96F1D"/>
    <w:rsid w:val="00FC0585"/>
    <w:rsid w:val="00FC1122"/>
    <w:rsid w:val="00FC322C"/>
    <w:rsid w:val="00FD504D"/>
    <w:rsid w:val="00FE735B"/>
    <w:rsid w:val="00FF5B35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8174DC6B-0AC1-244A-B34C-C48A007F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87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.nikcevic@eprd.pl" TargetMode="External"/><Relationship Id="rId1" Type="http://schemas.openxmlformats.org/officeDocument/2006/relationships/hyperlink" Target="http://www.ikces.m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DBC53-D534-4361-8CD9-26B7184B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3489</Words>
  <Characters>19889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Boris Curkovic</cp:lastModifiedBy>
  <cp:revision>2</cp:revision>
  <cp:lastPrinted>2019-11-29T10:00:00Z</cp:lastPrinted>
  <dcterms:created xsi:type="dcterms:W3CDTF">2020-11-17T12:33:00Z</dcterms:created>
  <dcterms:modified xsi:type="dcterms:W3CDTF">2020-11-17T12:33:00Z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