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BA287" w14:textId="1160CFF4" w:rsidR="00813BC5" w:rsidRDefault="00C94DF6" w:rsidP="00813B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Training Report</w:t>
      </w:r>
    </w:p>
    <w:p w14:paraId="5030EC81" w14:textId="6AFAF480" w:rsidR="00813BC5" w:rsidRPr="00C94DF6" w:rsidRDefault="00C94DF6" w:rsidP="00813BC5">
      <w:pPr>
        <w:jc w:val="center"/>
        <w:rPr>
          <w:b/>
          <w:bCs/>
        </w:rPr>
      </w:pPr>
      <w:r w:rsidRPr="00C94DF6">
        <w:rPr>
          <w:b/>
          <w:bCs/>
        </w:rPr>
        <w:t xml:space="preserve">Training on Quality Assurance of Integration of Key Competences, </w:t>
      </w:r>
      <w:r w:rsidR="00813BC5" w:rsidRPr="00C94DF6">
        <w:rPr>
          <w:b/>
          <w:bCs/>
        </w:rPr>
        <w:t>15</w:t>
      </w:r>
      <w:r w:rsidRPr="00C94DF6">
        <w:rPr>
          <w:b/>
          <w:bCs/>
        </w:rPr>
        <w:t xml:space="preserve"> and </w:t>
      </w:r>
      <w:r w:rsidR="00813BC5" w:rsidRPr="00C94DF6">
        <w:rPr>
          <w:b/>
          <w:bCs/>
        </w:rPr>
        <w:t>16 January 20</w:t>
      </w:r>
      <w:r w:rsidR="00274A78" w:rsidRPr="00C94DF6">
        <w:rPr>
          <w:b/>
          <w:bCs/>
        </w:rPr>
        <w:t>20</w:t>
      </w:r>
    </w:p>
    <w:p w14:paraId="171F9666" w14:textId="2CC95485" w:rsidR="008723CC" w:rsidRPr="00C94DF6" w:rsidRDefault="008723CC" w:rsidP="00813BC5">
      <w:pPr>
        <w:jc w:val="center"/>
        <w:rPr>
          <w:b/>
          <w:bCs/>
        </w:rPr>
      </w:pPr>
      <w:r w:rsidRPr="00C94DF6">
        <w:rPr>
          <w:b/>
          <w:bCs/>
        </w:rPr>
        <w:t>Location: Podgorica, conference room A Bureau of Education Services</w:t>
      </w:r>
    </w:p>
    <w:p w14:paraId="48F6A1C3" w14:textId="77777777" w:rsidR="008723CC" w:rsidRPr="00BA1EC2" w:rsidRDefault="008723CC" w:rsidP="008723CC"/>
    <w:p w14:paraId="7AC90CB3" w14:textId="264DE8A5" w:rsidR="008723CC" w:rsidRPr="00BA1EC2" w:rsidRDefault="008723CC" w:rsidP="00C94DF6">
      <w:pPr>
        <w:jc w:val="both"/>
      </w:pPr>
      <w:r w:rsidRPr="00BA1EC2">
        <w:rPr>
          <w:b/>
          <w:bCs/>
        </w:rPr>
        <w:t>Participants:</w:t>
      </w:r>
      <w:r w:rsidRPr="00BA1EC2">
        <w:t xml:space="preserve"> Pedagogic advisors from the Bureau for Education Services and VET Centre</w:t>
      </w:r>
      <w:r w:rsidR="00C94DF6">
        <w:t>,</w:t>
      </w:r>
      <w:r w:rsidRPr="00BA1EC2">
        <w:t xml:space="preserve"> responsible for external quality assurance of primary and secondary (general and VET) education institutions (schools).</w:t>
      </w:r>
    </w:p>
    <w:tbl>
      <w:tblPr>
        <w:tblW w:w="10086" w:type="dxa"/>
        <w:tblLook w:val="04A0" w:firstRow="1" w:lastRow="0" w:firstColumn="1" w:lastColumn="0" w:noHBand="0" w:noVBand="1"/>
      </w:tblPr>
      <w:tblGrid>
        <w:gridCol w:w="3955"/>
        <w:gridCol w:w="3270"/>
        <w:gridCol w:w="1419"/>
        <w:gridCol w:w="1442"/>
      </w:tblGrid>
      <w:tr w:rsidR="00C94DF6" w:rsidRPr="006D1F89" w14:paraId="4DEDF0B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EA47D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Name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D1FDE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Institution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05A297" w14:textId="77777777" w:rsidR="00C94DF6" w:rsidRPr="006D1F89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15/01/2020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3B4C61" w14:textId="77777777" w:rsidR="00C94DF6" w:rsidRPr="006D1F89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16/01/2020</w:t>
            </w:r>
          </w:p>
        </w:tc>
      </w:tr>
      <w:tr w:rsidR="00C94DF6" w:rsidRPr="006D1F89" w14:paraId="70E99C8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8CC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Džoana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Perkaj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2C9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B00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132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64BD082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F36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Dragana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Bušković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FEDB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C6C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115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5BFFFB6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5F38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Ana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Stanišljević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BC0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A2AB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636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Times New Roman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4089BB1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4C8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Fran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Vuljaj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92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228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2E7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5FDE312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20B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Raba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Hodžić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0C7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EDC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BBD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35F0A53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888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Rabija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Šarkinović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50F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478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106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3635F90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32F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Ivan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Marković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630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FFC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550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52FEBE65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707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Naser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Gargović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4BE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E21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9D7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5229951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F77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Vladislav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Koprivica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803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B9D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2A3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7E551AB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EC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Branislav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Knežević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B0A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61F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41E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2E75D205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F7B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Željko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Korać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C62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9EA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5AA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00DFA4B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C32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Bojana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Nenezić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EDD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CF3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5E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7D0FB207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AA2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Nataša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Rašović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0C1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AEB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22B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49E3A259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C308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Dragan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Berilažić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F9E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C1C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D07B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451709F4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1BDB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Nermin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Hajdarpašić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42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1BE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BAC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Times New Roman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4C91807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3F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Fadila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Kajević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274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704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81C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2992905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3E0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Vesna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Babović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574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21B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5AA8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606B7B1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FAA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Duško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Lučić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901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924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D32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0531B2F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327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Radoje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Radunović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B94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VET Centre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900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E45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78A4DE7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0FF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Gordana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Tmušić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Radulović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525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998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227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385E889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58E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Ana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Janković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FEC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7A2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C31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192F164F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1A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Irena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Ivanović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C4B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A94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9648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06F6ECAE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997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Danilo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Bošković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FA2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3DF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6B5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035B0C79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720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Miodrag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Vučeljić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485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455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BC0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7845531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2CB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Ana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Vučinić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Gujić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292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40E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2DFF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4DDC5E20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C5A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Nada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Maraš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C26E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CE3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FD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3A0E4CD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DE5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Anton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Gojčaj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55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64C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200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4D519D96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9298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Nebojša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Bakočević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BDC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CFC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575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</w:tr>
      <w:tr w:rsidR="00C94DF6" w:rsidRPr="006D1F89" w14:paraId="344C6A51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513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Milica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Vušurović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AC80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35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B569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70E1D188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71E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Aleksandra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Vučeljić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7C6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0CB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3D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35BFAC42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319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Blaga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Žurić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A65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5DAC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662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6ACF3ADD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26A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Radovan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Ognjanović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F9B4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5AF6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  <w:r w:rsidRPr="006D1F89">
              <w:rPr>
                <w:rFonts w:ascii="Symbol" w:eastAsia="Times New Roman" w:hAnsi="Symbol" w:cs="Calibri"/>
                <w:color w:val="000000"/>
                <w:sz w:val="20"/>
                <w:szCs w:val="20"/>
                <w:lang w:eastAsia="en-GB" w:bidi="ar-SA"/>
              </w:rPr>
              <w:t>Ö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0C7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3D5B8E2B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0F72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Nataša</w:t>
            </w:r>
            <w:proofErr w:type="spellEnd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 xml:space="preserve"> </w:t>
            </w:r>
            <w:proofErr w:type="spellStart"/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Tomović</w:t>
            </w:r>
            <w:proofErr w:type="spellEnd"/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5643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Bureau for Education Services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3DFA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808D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</w:tr>
      <w:tr w:rsidR="00C94DF6" w:rsidRPr="006D1F89" w14:paraId="2C29481C" w14:textId="77777777" w:rsidTr="007772B1">
        <w:trPr>
          <w:trHeight w:val="288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581" w14:textId="77777777" w:rsidR="00C94DF6" w:rsidRPr="006D1F89" w:rsidRDefault="00C94DF6" w:rsidP="00C94DF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 w:bidi="ar-SA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768F" w14:textId="77777777" w:rsidR="00C94DF6" w:rsidRPr="006D1F89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Total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069D" w14:textId="77777777" w:rsidR="00C94DF6" w:rsidRPr="006D1F89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BDDC" w14:textId="77777777" w:rsidR="00C94DF6" w:rsidRPr="006D1F89" w:rsidRDefault="00C94DF6" w:rsidP="00C94DF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</w:pPr>
            <w:r w:rsidRPr="006D1F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 w:bidi="ar-SA"/>
              </w:rPr>
              <w:t>26</w:t>
            </w:r>
          </w:p>
        </w:tc>
      </w:tr>
    </w:tbl>
    <w:p w14:paraId="342067D1" w14:textId="5A3B9437" w:rsidR="0065636D" w:rsidRPr="00BA1EC2" w:rsidRDefault="0065636D" w:rsidP="008723CC"/>
    <w:p w14:paraId="037ABA6D" w14:textId="77777777" w:rsidR="00C94DF6" w:rsidRPr="00BA1EC2" w:rsidRDefault="0065636D" w:rsidP="00EA1691">
      <w:pPr>
        <w:spacing w:line="276" w:lineRule="auto"/>
        <w:jc w:val="both"/>
      </w:pPr>
      <w:r w:rsidRPr="00BA1EC2">
        <w:rPr>
          <w:b/>
          <w:bCs/>
        </w:rPr>
        <w:t>Facilitators</w:t>
      </w:r>
      <w:r w:rsidR="00C94DF6">
        <w:rPr>
          <w:b/>
          <w:bCs/>
        </w:rPr>
        <w:t xml:space="preserve">: </w:t>
      </w:r>
      <w:r w:rsidR="00C94DF6" w:rsidRPr="00BA1EC2">
        <w:t>Ian Morris (</w:t>
      </w:r>
      <w:r w:rsidR="00C94DF6">
        <w:t>KE 3 for QA</w:t>
      </w:r>
      <w:r w:rsidR="00C94DF6" w:rsidRPr="00BA1EC2">
        <w:t>)</w:t>
      </w:r>
      <w:r w:rsidR="00C94DF6">
        <w:t xml:space="preserve">, </w:t>
      </w:r>
      <w:r w:rsidR="00C94DF6" w:rsidRPr="00BA1EC2">
        <w:t xml:space="preserve">Boris </w:t>
      </w:r>
      <w:proofErr w:type="spellStart"/>
      <w:r w:rsidR="00C94DF6" w:rsidRPr="00BA1EC2">
        <w:t>Curkovic</w:t>
      </w:r>
      <w:proofErr w:type="spellEnd"/>
      <w:r w:rsidR="00C94DF6" w:rsidRPr="00BA1EC2">
        <w:t xml:space="preserve"> (</w:t>
      </w:r>
      <w:r w:rsidR="00C94DF6">
        <w:t>Team Leader</w:t>
      </w:r>
      <w:r w:rsidR="00C94DF6" w:rsidRPr="00BA1EC2">
        <w:t>)</w:t>
      </w:r>
      <w:r w:rsidR="00C94DF6">
        <w:t xml:space="preserve">, </w:t>
      </w:r>
      <w:r w:rsidR="00C94DF6" w:rsidRPr="00BA1EC2">
        <w:t xml:space="preserve">Maja </w:t>
      </w:r>
      <w:proofErr w:type="spellStart"/>
      <w:r w:rsidR="00C94DF6" w:rsidRPr="00BA1EC2">
        <w:t>Jukić</w:t>
      </w:r>
      <w:proofErr w:type="spellEnd"/>
      <w:r w:rsidR="00C94DF6" w:rsidRPr="00BA1EC2">
        <w:t xml:space="preserve"> (</w:t>
      </w:r>
      <w:r w:rsidR="00C94DF6">
        <w:t xml:space="preserve">KE 2 for teacher Training), </w:t>
      </w:r>
      <w:proofErr w:type="spellStart"/>
      <w:r w:rsidR="00C94DF6" w:rsidRPr="00BA1EC2">
        <w:t>Rajko</w:t>
      </w:r>
      <w:proofErr w:type="spellEnd"/>
      <w:r w:rsidR="00C94DF6" w:rsidRPr="00BA1EC2">
        <w:t xml:space="preserve"> </w:t>
      </w:r>
      <w:proofErr w:type="spellStart"/>
      <w:r w:rsidR="00C94DF6" w:rsidRPr="00BA1EC2">
        <w:t>Kosovic</w:t>
      </w:r>
      <w:proofErr w:type="spellEnd"/>
      <w:r w:rsidR="00C94DF6" w:rsidRPr="00BA1EC2">
        <w:t xml:space="preserve"> </w:t>
      </w:r>
      <w:r w:rsidR="00C94DF6">
        <w:t xml:space="preserve">(Junior Expert for QA and assessment mechanisms), </w:t>
      </w:r>
      <w:r w:rsidR="00C94DF6" w:rsidRPr="00BA1EC2">
        <w:t xml:space="preserve">Bojana </w:t>
      </w:r>
      <w:proofErr w:type="spellStart"/>
      <w:r w:rsidR="00C94DF6" w:rsidRPr="00BA1EC2">
        <w:t>Živković</w:t>
      </w:r>
      <w:proofErr w:type="spellEnd"/>
      <w:r w:rsidR="00C94DF6" w:rsidRPr="00BA1EC2">
        <w:t xml:space="preserve"> (Project office manager) </w:t>
      </w:r>
    </w:p>
    <w:p w14:paraId="700B3657" w14:textId="77777777" w:rsidR="00C94DF6" w:rsidRDefault="00C94DF6" w:rsidP="00EA1691">
      <w:pPr>
        <w:spacing w:line="276" w:lineRule="auto"/>
      </w:pPr>
    </w:p>
    <w:p w14:paraId="486EB501" w14:textId="620189AA" w:rsidR="008723CC" w:rsidRPr="00BA1EC2" w:rsidRDefault="008723CC" w:rsidP="00EA1691">
      <w:pPr>
        <w:spacing w:line="276" w:lineRule="auto"/>
        <w:rPr>
          <w:b/>
          <w:bCs/>
        </w:rPr>
      </w:pPr>
      <w:r w:rsidRPr="00BA1EC2">
        <w:rPr>
          <w:b/>
          <w:bCs/>
        </w:rPr>
        <w:t>Aims of the training</w:t>
      </w:r>
    </w:p>
    <w:p w14:paraId="6BC85E5B" w14:textId="094BF02A" w:rsidR="008723CC" w:rsidRPr="00BA1EC2" w:rsidRDefault="008723CC" w:rsidP="00EA1691">
      <w:pPr>
        <w:pStyle w:val="ListParagraph"/>
        <w:numPr>
          <w:ilvl w:val="0"/>
          <w:numId w:val="1"/>
        </w:numPr>
        <w:spacing w:line="276" w:lineRule="auto"/>
      </w:pPr>
      <w:r w:rsidRPr="00BA1EC2">
        <w:t>Present the project concept of key competences according to EU referencing framework</w:t>
      </w:r>
    </w:p>
    <w:p w14:paraId="52225006" w14:textId="5FEE9C5A" w:rsidR="008723CC" w:rsidRPr="00BA1EC2" w:rsidRDefault="008723CC" w:rsidP="00EA1691">
      <w:pPr>
        <w:pStyle w:val="ListParagraph"/>
        <w:numPr>
          <w:ilvl w:val="0"/>
          <w:numId w:val="4"/>
        </w:numPr>
        <w:spacing w:line="276" w:lineRule="auto"/>
      </w:pPr>
      <w:r w:rsidRPr="00BA1EC2">
        <w:t xml:space="preserve">Discuss the main concept of quality assurance in education </w:t>
      </w:r>
    </w:p>
    <w:p w14:paraId="2F703586" w14:textId="59553733" w:rsidR="008723CC" w:rsidRPr="00BA1EC2" w:rsidRDefault="008723CC" w:rsidP="00EA1691">
      <w:pPr>
        <w:pStyle w:val="ListParagraph"/>
        <w:numPr>
          <w:ilvl w:val="0"/>
          <w:numId w:val="4"/>
        </w:numPr>
        <w:spacing w:line="276" w:lineRule="auto"/>
      </w:pPr>
      <w:r w:rsidRPr="00BA1EC2">
        <w:t>Present the new methodology of external evaluation of schools in Montenegro</w:t>
      </w:r>
    </w:p>
    <w:p w14:paraId="353383EF" w14:textId="36CFF6BD" w:rsidR="008723CC" w:rsidRPr="00BA1EC2" w:rsidRDefault="008723CC" w:rsidP="00EA1691">
      <w:pPr>
        <w:pStyle w:val="ListParagraph"/>
        <w:numPr>
          <w:ilvl w:val="0"/>
          <w:numId w:val="4"/>
        </w:numPr>
        <w:spacing w:line="276" w:lineRule="auto"/>
      </w:pPr>
      <w:r w:rsidRPr="00BA1EC2">
        <w:t xml:space="preserve">Consider drafting a methodology </w:t>
      </w:r>
      <w:r w:rsidR="002E5D54" w:rsidRPr="00BA1EC2">
        <w:t xml:space="preserve">for monitoring evaluating the integration of key competences in primary and secondary education </w:t>
      </w:r>
    </w:p>
    <w:p w14:paraId="633992D0" w14:textId="085DEB79" w:rsidR="002E5D54" w:rsidRPr="00BA1EC2" w:rsidRDefault="002E5D54" w:rsidP="00EA1691">
      <w:pPr>
        <w:pStyle w:val="ListParagraph"/>
        <w:numPr>
          <w:ilvl w:val="0"/>
          <w:numId w:val="4"/>
        </w:numPr>
        <w:spacing w:line="276" w:lineRule="auto"/>
      </w:pPr>
      <w:r w:rsidRPr="00BA1EC2">
        <w:t>Consider how effectively the key competences have been integrated into the school curriculum to date.</w:t>
      </w:r>
    </w:p>
    <w:p w14:paraId="161F2FDD" w14:textId="3891AF5C" w:rsidR="002E5D54" w:rsidRPr="00BA1EC2" w:rsidRDefault="002E5D54" w:rsidP="00EA1691">
      <w:pPr>
        <w:pStyle w:val="ListParagraph"/>
        <w:numPr>
          <w:ilvl w:val="1"/>
          <w:numId w:val="4"/>
        </w:numPr>
        <w:spacing w:line="276" w:lineRule="auto"/>
      </w:pPr>
      <w:r w:rsidRPr="00BA1EC2">
        <w:t>Consider how teachers are promoting the development of key competences in the classroom to pupils/students</w:t>
      </w:r>
    </w:p>
    <w:p w14:paraId="48012028" w14:textId="684A57EA" w:rsidR="002E5D54" w:rsidRPr="00BA1EC2" w:rsidRDefault="002E5D54" w:rsidP="00EA1691">
      <w:pPr>
        <w:pStyle w:val="ListParagraph"/>
        <w:numPr>
          <w:ilvl w:val="1"/>
          <w:numId w:val="4"/>
        </w:numPr>
        <w:spacing w:line="276" w:lineRule="auto"/>
      </w:pPr>
      <w:r w:rsidRPr="00BA1EC2">
        <w:t>Review student achievement of key competences</w:t>
      </w:r>
    </w:p>
    <w:p w14:paraId="071B95BC" w14:textId="73444F33" w:rsidR="002E5D54" w:rsidRPr="00BA1EC2" w:rsidRDefault="002E5D54" w:rsidP="00EA1691">
      <w:pPr>
        <w:pStyle w:val="ListParagraph"/>
        <w:numPr>
          <w:ilvl w:val="1"/>
          <w:numId w:val="4"/>
        </w:numPr>
        <w:spacing w:line="276" w:lineRule="auto"/>
      </w:pPr>
      <w:r w:rsidRPr="00BA1EC2">
        <w:t>Review how institutions ensure the continuous improvement of key competence teaching and learning</w:t>
      </w:r>
    </w:p>
    <w:p w14:paraId="1E9F4992" w14:textId="6039759F" w:rsidR="002E5D54" w:rsidRPr="00BA1EC2" w:rsidRDefault="002E5D54" w:rsidP="00EA1691">
      <w:pPr>
        <w:spacing w:line="276" w:lineRule="auto"/>
        <w:rPr>
          <w:b/>
          <w:bCs/>
        </w:rPr>
      </w:pPr>
      <w:r w:rsidRPr="00BA1EC2">
        <w:rPr>
          <w:b/>
          <w:bCs/>
        </w:rPr>
        <w:t>Learning Outcomes</w:t>
      </w:r>
    </w:p>
    <w:p w14:paraId="2FBC67F9" w14:textId="77777777" w:rsidR="00E92AED" w:rsidRPr="00BA1EC2" w:rsidRDefault="00E92AED" w:rsidP="00EA1691">
      <w:pPr>
        <w:pStyle w:val="ListParagraph"/>
        <w:numPr>
          <w:ilvl w:val="0"/>
          <w:numId w:val="3"/>
        </w:numPr>
        <w:spacing w:line="276" w:lineRule="auto"/>
      </w:pPr>
      <w:r w:rsidRPr="00BA1EC2">
        <w:t>Recognise EU recommendations on QA at all levels of education</w:t>
      </w:r>
    </w:p>
    <w:p w14:paraId="69ED86D5" w14:textId="77777777" w:rsidR="00E92AED" w:rsidRPr="00BA1EC2" w:rsidRDefault="00E92AED" w:rsidP="00EA1691">
      <w:pPr>
        <w:pStyle w:val="ListParagraph"/>
        <w:numPr>
          <w:ilvl w:val="0"/>
          <w:numId w:val="3"/>
        </w:numPr>
        <w:spacing w:line="276" w:lineRule="auto"/>
      </w:pPr>
      <w:r w:rsidRPr="00BA1EC2">
        <w:t>Recognise the value of Key Competence and how they might be included within the curriculum, be assessed and evaluated</w:t>
      </w:r>
    </w:p>
    <w:p w14:paraId="498917B0" w14:textId="585A8F3D" w:rsidR="002E5D54" w:rsidRPr="00BA1EC2" w:rsidRDefault="00E92AED" w:rsidP="00EA1691">
      <w:pPr>
        <w:pStyle w:val="ListParagraph"/>
        <w:numPr>
          <w:ilvl w:val="0"/>
          <w:numId w:val="3"/>
        </w:numPr>
        <w:spacing w:line="276" w:lineRule="auto"/>
        <w:rPr>
          <w:b/>
          <w:bCs/>
        </w:rPr>
      </w:pPr>
      <w:r w:rsidRPr="00BA1EC2">
        <w:t>Consider the existing Montenegrin QA system of internal and external evaluation and the changes made in the recent law and methodology.</w:t>
      </w:r>
    </w:p>
    <w:p w14:paraId="6AF25D0D" w14:textId="77777777" w:rsidR="00E92AED" w:rsidRPr="00BA1EC2" w:rsidRDefault="00E92AED" w:rsidP="00EA1691">
      <w:pPr>
        <w:spacing w:line="276" w:lineRule="auto"/>
        <w:rPr>
          <w:b/>
          <w:bCs/>
        </w:rPr>
      </w:pPr>
    </w:p>
    <w:p w14:paraId="743B9FE9" w14:textId="68D2BFF1" w:rsidR="002E5D54" w:rsidRPr="00BA1EC2" w:rsidRDefault="002E5D54" w:rsidP="00EA1691">
      <w:pPr>
        <w:spacing w:line="276" w:lineRule="auto"/>
      </w:pPr>
      <w:r w:rsidRPr="00BA1EC2">
        <w:rPr>
          <w:b/>
          <w:bCs/>
        </w:rPr>
        <w:t>Note:</w:t>
      </w:r>
      <w:r w:rsidRPr="00BA1EC2">
        <w:t xml:space="preserve"> the project team were informed </w:t>
      </w:r>
      <w:r w:rsidR="00A2743C" w:rsidRPr="00BA1EC2">
        <w:t xml:space="preserve">immediately before the training </w:t>
      </w:r>
      <w:r w:rsidRPr="00BA1EC2">
        <w:t>that</w:t>
      </w:r>
      <w:r w:rsidR="00E92AED" w:rsidRPr="00BA1EC2">
        <w:t xml:space="preserve"> </w:t>
      </w:r>
      <w:r w:rsidR="00A2743C" w:rsidRPr="00BA1EC2">
        <w:t>L.O.3</w:t>
      </w:r>
      <w:r w:rsidRPr="00BA1EC2">
        <w:t xml:space="preserve"> </w:t>
      </w:r>
      <w:r w:rsidR="00A2743C" w:rsidRPr="00BA1EC2">
        <w:t>‘</w:t>
      </w:r>
      <w:r w:rsidRPr="00BA1EC2">
        <w:t>the new Montenegrin law and methodology on the evaluation of education and training</w:t>
      </w:r>
      <w:r w:rsidR="00A2743C" w:rsidRPr="00BA1EC2">
        <w:t>’</w:t>
      </w:r>
      <w:r w:rsidRPr="00BA1EC2">
        <w:t xml:space="preserve"> would not </w:t>
      </w:r>
      <w:r w:rsidR="00A2743C" w:rsidRPr="00BA1EC2">
        <w:t xml:space="preserve">now </w:t>
      </w:r>
      <w:r w:rsidRPr="00BA1EC2">
        <w:t>be presented at this event</w:t>
      </w:r>
      <w:r w:rsidR="00E92AED" w:rsidRPr="00BA1EC2">
        <w:t>.</w:t>
      </w:r>
    </w:p>
    <w:p w14:paraId="5A0D08AB" w14:textId="77777777" w:rsidR="00C94DF6" w:rsidRDefault="00C94DF6" w:rsidP="00EA1691">
      <w:pPr>
        <w:spacing w:line="276" w:lineRule="auto"/>
      </w:pPr>
    </w:p>
    <w:p w14:paraId="285233CA" w14:textId="7930A3E9" w:rsidR="006D1F89" w:rsidRPr="00BA1EC2" w:rsidRDefault="006D1F89" w:rsidP="00EA1691">
      <w:pPr>
        <w:spacing w:line="276" w:lineRule="auto"/>
      </w:pPr>
      <w:r w:rsidRPr="00BA1EC2">
        <w:t>Inputs were provided by Consultants and included:</w:t>
      </w:r>
    </w:p>
    <w:p w14:paraId="57C78D11" w14:textId="17E80C06" w:rsidR="008723CC" w:rsidRPr="00BA1EC2" w:rsidRDefault="006D1F89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Introduction. Broad outline of EU 8 key competences</w:t>
      </w:r>
    </w:p>
    <w:p w14:paraId="3C220AA3" w14:textId="71D6B769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Presentation of PISA achievement in Montenegro and comparisons with EU average.</w:t>
      </w:r>
    </w:p>
    <w:p w14:paraId="75BB9450" w14:textId="55E90EAE" w:rsidR="006D1F89" w:rsidRPr="00BA1EC2" w:rsidRDefault="006D1F89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Introduction to Quality Assurance</w:t>
      </w:r>
      <w:r w:rsidR="0065636D" w:rsidRPr="00BA1EC2">
        <w:t xml:space="preserve"> and consideration on how we might evaluate.</w:t>
      </w:r>
    </w:p>
    <w:p w14:paraId="68E50CA3" w14:textId="4C11C9D6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Introduction to EU Key documentation and recommendations on Key Competences, Assuring Quality in Education, Better learning for Europe’s young people</w:t>
      </w:r>
    </w:p>
    <w:p w14:paraId="6178FC7E" w14:textId="02B42083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Values of human resource development</w:t>
      </w:r>
    </w:p>
    <w:p w14:paraId="534FFC08" w14:textId="1A301892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Definitions of competence and the need for encouraging excellence</w:t>
      </w:r>
    </w:p>
    <w:p w14:paraId="422B5D73" w14:textId="34C63A35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Quality Systems, internal, external evaluation.</w:t>
      </w:r>
    </w:p>
    <w:p w14:paraId="33B3CD6F" w14:textId="6983916B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Examples of possible competence indicators</w:t>
      </w:r>
    </w:p>
    <w:p w14:paraId="34799E15" w14:textId="5FF107ED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t>Tasks to consider evaluation progression, self-evaluation, existing application of key competences and what needs to be done to ensure the development of key competences. Note</w:t>
      </w:r>
      <w:r w:rsidR="00C366BA">
        <w:t>:</w:t>
      </w:r>
      <w:r w:rsidRPr="00BA1EC2">
        <w:t xml:space="preserve"> due to time constraints a number of these tasks were not attempted.</w:t>
      </w:r>
    </w:p>
    <w:p w14:paraId="29D91ED9" w14:textId="52589465" w:rsidR="0065636D" w:rsidRPr="00BA1EC2" w:rsidRDefault="0065636D" w:rsidP="00EA1691">
      <w:pPr>
        <w:pStyle w:val="ListParagraph"/>
        <w:numPr>
          <w:ilvl w:val="0"/>
          <w:numId w:val="5"/>
        </w:numPr>
        <w:spacing w:line="276" w:lineRule="auto"/>
      </w:pPr>
      <w:r w:rsidRPr="00BA1EC2">
        <w:lastRenderedPageBreak/>
        <w:t>Task 7 A draft evaluation methodology was presented, and suggestions and amendments made. (See outcome)</w:t>
      </w:r>
    </w:p>
    <w:p w14:paraId="6D00A1FA" w14:textId="1866C5A4" w:rsidR="006D1F89" w:rsidRDefault="006D1F89" w:rsidP="006D1F89">
      <w:pPr>
        <w:rPr>
          <w:sz w:val="24"/>
          <w:szCs w:val="24"/>
        </w:rPr>
      </w:pPr>
    </w:p>
    <w:p w14:paraId="6C88A63F" w14:textId="1E80E62A" w:rsidR="00813BC5" w:rsidRPr="00DA438A" w:rsidRDefault="006A305E" w:rsidP="006A305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Evaluation</w:t>
      </w:r>
      <w:r w:rsidR="00DA438A">
        <w:rPr>
          <w:b/>
          <w:bCs/>
          <w:sz w:val="24"/>
          <w:szCs w:val="24"/>
        </w:rPr>
        <w:t xml:space="preserve">: </w:t>
      </w:r>
      <w:r w:rsidR="00DA438A" w:rsidRPr="00DA438A">
        <w:rPr>
          <w:sz w:val="24"/>
          <w:szCs w:val="24"/>
        </w:rPr>
        <w:t xml:space="preserve">Disappointingly </w:t>
      </w:r>
      <w:r w:rsidR="00DA438A">
        <w:rPr>
          <w:sz w:val="24"/>
          <w:szCs w:val="24"/>
        </w:rPr>
        <w:t xml:space="preserve">due to time constraints only </w:t>
      </w:r>
      <w:r w:rsidR="00EA1691">
        <w:rPr>
          <w:sz w:val="24"/>
          <w:szCs w:val="24"/>
        </w:rPr>
        <w:t>20</w:t>
      </w:r>
      <w:r w:rsidR="00DA438A">
        <w:rPr>
          <w:sz w:val="24"/>
          <w:szCs w:val="24"/>
        </w:rPr>
        <w:t xml:space="preserve"> evaluation sheets were completed.</w:t>
      </w:r>
      <w:r w:rsidR="0020365C">
        <w:rPr>
          <w:sz w:val="24"/>
          <w:szCs w:val="24"/>
        </w:rPr>
        <w:t xml:space="preserve"> </w:t>
      </w:r>
    </w:p>
    <w:p w14:paraId="64B850D0" w14:textId="77777777" w:rsidR="006A305E" w:rsidRDefault="006A305E" w:rsidP="006A305E">
      <w:pPr>
        <w:rPr>
          <w:lang w:val="en-US"/>
        </w:rPr>
      </w:pPr>
    </w:p>
    <w:p w14:paraId="756CF3D7" w14:textId="26426FFD" w:rsidR="006A305E" w:rsidRDefault="006A305E" w:rsidP="006A305E">
      <w:pPr>
        <w:rPr>
          <w:rFonts w:ascii="Arial" w:hAnsi="Arial" w:cs="Arial"/>
        </w:rPr>
      </w:pPr>
      <w:r w:rsidRPr="000665B6">
        <w:rPr>
          <w:rFonts w:ascii="Arial" w:hAnsi="Arial" w:cs="Arial"/>
        </w:rPr>
        <w:t xml:space="preserve">How would you grade this </w:t>
      </w:r>
      <w:r>
        <w:rPr>
          <w:rFonts w:ascii="Arial" w:hAnsi="Arial" w:cs="Arial"/>
        </w:rPr>
        <w:t>session training</w:t>
      </w:r>
      <w:r w:rsidRPr="000665B6">
        <w:rPr>
          <w:rFonts w:ascii="Arial" w:hAnsi="Arial" w:cs="Arial"/>
        </w:rPr>
        <w:t xml:space="preserve"> (Please complete by ticking boxes (</w:t>
      </w:r>
      <w:r w:rsidRPr="000665B6">
        <w:rPr>
          <w:rFonts w:ascii="Arial" w:hAnsi="Arial" w:cs="Arial"/>
          <w:noProof/>
        </w:rPr>
        <w:drawing>
          <wp:inline distT="0" distB="0" distL="0" distR="0" wp14:anchorId="522AED01" wp14:editId="4DB7FBC4">
            <wp:extent cx="131445" cy="131445"/>
            <wp:effectExtent l="0" t="0" r="1905" b="1905"/>
            <wp:docPr id="1" name="Picture 1" descr="MCj043471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34713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5B6">
        <w:rPr>
          <w:rFonts w:ascii="Arial" w:hAnsi="Arial" w:cs="Arial"/>
        </w:rPr>
        <w:t xml:space="preserve">) and leave with the workshop </w:t>
      </w:r>
      <w:proofErr w:type="gramStart"/>
      <w:r w:rsidRPr="000665B6">
        <w:rPr>
          <w:rFonts w:ascii="Arial" w:hAnsi="Arial" w:cs="Arial"/>
        </w:rPr>
        <w:t>facilitator.</w:t>
      </w:r>
      <w:proofErr w:type="gramEnd"/>
      <w:r w:rsidRPr="000665B6">
        <w:rPr>
          <w:rFonts w:ascii="Arial" w:hAnsi="Arial" w:cs="Arial"/>
        </w:rPr>
        <w:t xml:space="preserve"> Your opinion will help us to prepare for the next event).</w:t>
      </w:r>
    </w:p>
    <w:p w14:paraId="6FD383A7" w14:textId="77777777" w:rsidR="006A305E" w:rsidRDefault="006A305E" w:rsidP="006A305E">
      <w:pPr>
        <w:rPr>
          <w:rFonts w:ascii="Arial" w:hAnsi="Arial" w:cs="Arial"/>
        </w:rPr>
      </w:pPr>
    </w:p>
    <w:p w14:paraId="19D1910E" w14:textId="77777777" w:rsidR="006A305E" w:rsidRDefault="006A305E" w:rsidP="006A305E"/>
    <w:tbl>
      <w:tblPr>
        <w:tblpPr w:leftFromText="180" w:rightFromText="180" w:vertAnchor="text" w:horzAnchor="margin" w:tblpY="-42"/>
        <w:tblW w:w="5000" w:type="pct"/>
        <w:tblCellSpacing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01"/>
        <w:gridCol w:w="1094"/>
        <w:gridCol w:w="874"/>
        <w:gridCol w:w="1228"/>
        <w:gridCol w:w="1167"/>
        <w:gridCol w:w="1202"/>
      </w:tblGrid>
      <w:tr w:rsidR="006A305E" w14:paraId="31D1031D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17B6870D" w14:textId="77777777" w:rsidR="006A305E" w:rsidRDefault="006A305E" w:rsidP="00C94DF6"/>
        </w:tc>
        <w:tc>
          <w:tcPr>
            <w:tcW w:w="499" w:type="pct"/>
            <w:shd w:val="clear" w:color="auto" w:fill="auto"/>
            <w:vAlign w:val="center"/>
          </w:tcPr>
          <w:p w14:paraId="5067C3B4" w14:textId="20412AC4" w:rsidR="006A305E" w:rsidRPr="004D6A74" w:rsidRDefault="00C94DF6" w:rsidP="00C94D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Strongly Agree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7CBC342" w14:textId="3C027D36" w:rsidR="006A305E" w:rsidRPr="004D6A74" w:rsidRDefault="00C94DF6" w:rsidP="00C94D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Agree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F0E7FEA" w14:textId="53436F34" w:rsidR="006A305E" w:rsidRPr="004D6A74" w:rsidRDefault="00C94DF6" w:rsidP="00C94DF6">
            <w:pPr>
              <w:jc w:val="center"/>
              <w:rPr>
                <w:b/>
                <w:sz w:val="28"/>
                <w:szCs w:val="28"/>
              </w:rPr>
            </w:pPr>
            <w:r w:rsidRPr="009B1DF4">
              <w:rPr>
                <w:rFonts w:ascii="Arial" w:hAnsi="Arial" w:cs="Arial"/>
              </w:rPr>
              <w:t>Uncertain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0A4DEBAF" w14:textId="04BE622A" w:rsidR="006A305E" w:rsidRPr="004D6A74" w:rsidRDefault="00C94DF6" w:rsidP="00C94DF6">
            <w:pPr>
              <w:jc w:val="center"/>
              <w:rPr>
                <w:b/>
                <w:sz w:val="28"/>
                <w:szCs w:val="28"/>
              </w:rPr>
            </w:pPr>
            <w:r w:rsidRPr="009B1DF4">
              <w:rPr>
                <w:rFonts w:ascii="Arial" w:hAnsi="Arial" w:cs="Arial"/>
              </w:rPr>
              <w:t>Disagree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A574A79" w14:textId="0EB7DCF4" w:rsidR="006A305E" w:rsidRPr="004D6A74" w:rsidRDefault="00C94DF6" w:rsidP="00C94D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Strongly Disagree</w:t>
            </w:r>
          </w:p>
        </w:tc>
      </w:tr>
      <w:tr w:rsidR="006A305E" w14:paraId="7B02B6D8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3A712C61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 w:rsidRPr="004D6A74">
              <w:rPr>
                <w:rFonts w:ascii="Arial" w:hAnsi="Arial" w:cs="Arial"/>
              </w:rPr>
              <w:t xml:space="preserve">Explanation of </w:t>
            </w:r>
            <w:r>
              <w:rPr>
                <w:rFonts w:ascii="Arial" w:hAnsi="Arial" w:cs="Arial"/>
              </w:rPr>
              <w:t>outcomes</w:t>
            </w:r>
            <w:r w:rsidRPr="004D6A7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 this workshop</w:t>
            </w:r>
            <w:r w:rsidRPr="004D6A74">
              <w:rPr>
                <w:rFonts w:ascii="Arial" w:hAnsi="Arial" w:cs="Arial"/>
              </w:rPr>
              <w:t xml:space="preserve"> was clear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22C04B99" w14:textId="04E62F3B" w:rsidR="006A305E" w:rsidRDefault="00C94DF6" w:rsidP="00C94DF6">
            <w:pPr>
              <w:jc w:val="center"/>
            </w:pPr>
            <w:r>
              <w:t>12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4620F590" w14:textId="7F1AC33E" w:rsidR="006A305E" w:rsidRDefault="00C94DF6" w:rsidP="00C94DF6">
            <w:pPr>
              <w:jc w:val="center"/>
            </w:pPr>
            <w:r>
              <w:t>8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9796C00" w14:textId="77777777" w:rsidR="006A305E" w:rsidRDefault="006A305E" w:rsidP="00C94DF6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42314246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76C83E16" w14:textId="77777777" w:rsidR="006A305E" w:rsidRDefault="006A305E" w:rsidP="00C94DF6">
            <w:pPr>
              <w:jc w:val="center"/>
            </w:pPr>
          </w:p>
        </w:tc>
      </w:tr>
      <w:tr w:rsidR="006A305E" w14:paraId="243F0FCB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322D6931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 w:rsidRPr="004D6A74">
              <w:rPr>
                <w:rFonts w:ascii="Arial" w:hAnsi="Arial" w:cs="Arial"/>
              </w:rPr>
              <w:t>The content was relevant to my needs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32945DC" w14:textId="738D1ACC" w:rsidR="006A305E" w:rsidRDefault="00EA1691" w:rsidP="00C94DF6">
            <w:pPr>
              <w:jc w:val="center"/>
            </w:pPr>
            <w:r>
              <w:t>9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169C038" w14:textId="1E8423F4" w:rsidR="006A305E" w:rsidRDefault="00C94DF6" w:rsidP="00C94DF6">
            <w:pPr>
              <w:jc w:val="center"/>
            </w:pPr>
            <w:r>
              <w:t>10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41000022" w14:textId="73D210B7" w:rsidR="006A305E" w:rsidRDefault="00DA438A" w:rsidP="00C94DF6">
            <w:pPr>
              <w:jc w:val="center"/>
            </w:pPr>
            <w: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811DF62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20B393F0" w14:textId="77777777" w:rsidR="006A305E" w:rsidRDefault="006A305E" w:rsidP="00C94DF6">
            <w:pPr>
              <w:jc w:val="center"/>
            </w:pPr>
          </w:p>
        </w:tc>
      </w:tr>
      <w:tr w:rsidR="006A305E" w14:paraId="040B1326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224D9BAA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 w:rsidRPr="004D6A74">
              <w:rPr>
                <w:rFonts w:ascii="Arial" w:hAnsi="Arial" w:cs="Arial"/>
              </w:rPr>
              <w:t>Presentation(s) was (were) helpful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6599616" w14:textId="3CDF2AE2" w:rsidR="006A305E" w:rsidRDefault="00EA1691" w:rsidP="00C94DF6">
            <w:pPr>
              <w:jc w:val="center"/>
            </w:pPr>
            <w:r>
              <w:t>9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05DF8EDB" w14:textId="767DF871" w:rsidR="006A305E" w:rsidRDefault="00C94DF6" w:rsidP="00C94DF6">
            <w:pPr>
              <w:jc w:val="center"/>
            </w:pPr>
            <w:r>
              <w:t>10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6C781842" w14:textId="10166116" w:rsidR="006A305E" w:rsidRDefault="00DA438A" w:rsidP="00C94DF6">
            <w:pPr>
              <w:jc w:val="center"/>
            </w:pPr>
            <w: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56479EBA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4A11E10" w14:textId="77777777" w:rsidR="006A305E" w:rsidRDefault="006A305E" w:rsidP="00C94DF6">
            <w:pPr>
              <w:jc w:val="center"/>
            </w:pPr>
          </w:p>
        </w:tc>
      </w:tr>
      <w:tr w:rsidR="006A305E" w14:paraId="45D8F540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37EA4949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 w:rsidRPr="004D6A74">
              <w:rPr>
                <w:rFonts w:ascii="Arial" w:hAnsi="Arial" w:cs="Arial"/>
              </w:rPr>
              <w:t>The materials were useful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20A3D01" w14:textId="237E90AB" w:rsidR="006A305E" w:rsidRDefault="00C94DF6" w:rsidP="00C94DF6">
            <w:pPr>
              <w:jc w:val="center"/>
            </w:pPr>
            <w:r>
              <w:t>9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4DD30DC7" w14:textId="69023FE1" w:rsidR="006A305E" w:rsidRDefault="00C94DF6" w:rsidP="00C94DF6">
            <w:pPr>
              <w:jc w:val="center"/>
            </w:pPr>
            <w:r>
              <w:t>11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4C470E6" w14:textId="77777777" w:rsidR="006A305E" w:rsidRDefault="006A305E" w:rsidP="00C94DF6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6F2BE6B7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023EFF68" w14:textId="77777777" w:rsidR="006A305E" w:rsidRDefault="006A305E" w:rsidP="00C94DF6">
            <w:pPr>
              <w:jc w:val="center"/>
            </w:pPr>
          </w:p>
        </w:tc>
      </w:tr>
      <w:tr w:rsidR="006A305E" w14:paraId="3A9F37DF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2F456222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workshop</w:t>
            </w:r>
            <w:r w:rsidRPr="004D6A74">
              <w:rPr>
                <w:rFonts w:ascii="Arial" w:hAnsi="Arial" w:cs="Arial"/>
              </w:rPr>
              <w:t xml:space="preserve"> was paced just right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3D28094" w14:textId="4C261463" w:rsidR="006A305E" w:rsidRDefault="00EA1691" w:rsidP="00C94DF6">
            <w:pPr>
              <w:jc w:val="center"/>
            </w:pPr>
            <w:r>
              <w:t>7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0D9B7986" w14:textId="39032A67" w:rsidR="006A305E" w:rsidRDefault="00EA1691" w:rsidP="00C94DF6">
            <w:pPr>
              <w:jc w:val="center"/>
            </w:pPr>
            <w:r>
              <w:t>10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2091AF4C" w14:textId="0B09466D" w:rsidR="006A305E" w:rsidRDefault="00DA438A" w:rsidP="00C94DF6">
            <w:pPr>
              <w:jc w:val="center"/>
            </w:pPr>
            <w: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0FFEB122" w14:textId="7DDF83F5" w:rsidR="006A305E" w:rsidRDefault="00DA438A" w:rsidP="00C94DF6">
            <w:pPr>
              <w:jc w:val="center"/>
            </w:pPr>
            <w:r>
              <w:t>1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8DE1382" w14:textId="77777777" w:rsidR="006A305E" w:rsidRDefault="006A305E" w:rsidP="00C94DF6">
            <w:pPr>
              <w:jc w:val="center"/>
            </w:pPr>
          </w:p>
        </w:tc>
      </w:tr>
      <w:tr w:rsidR="006A305E" w14:paraId="10E1F000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092F3118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information in the workshop will help my</w:t>
            </w:r>
            <w:r w:rsidRPr="004D6A74">
              <w:rPr>
                <w:rFonts w:ascii="Arial" w:hAnsi="Arial" w:cs="Arial"/>
              </w:rPr>
              <w:t xml:space="preserve"> future work </w:t>
            </w:r>
            <w:r>
              <w:rPr>
                <w:rFonts w:ascii="Arial" w:hAnsi="Arial" w:cs="Arial"/>
              </w:rPr>
              <w:t xml:space="preserve">in working 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27B1957" w14:textId="38B9E2D5" w:rsidR="006A305E" w:rsidRDefault="00EA1691" w:rsidP="00C94DF6">
            <w:pPr>
              <w:jc w:val="center"/>
            </w:pPr>
            <w:r>
              <w:t>11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7882493" w14:textId="1674D75E" w:rsidR="006A305E" w:rsidRDefault="00EA1691" w:rsidP="00C94DF6">
            <w:pPr>
              <w:jc w:val="center"/>
            </w:pPr>
            <w:r>
              <w:t>9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CF012EA" w14:textId="77777777" w:rsidR="006A305E" w:rsidRDefault="006A305E" w:rsidP="00C94DF6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14:paraId="61126A0E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A7B8D21" w14:textId="77777777" w:rsidR="006A305E" w:rsidRDefault="006A305E" w:rsidP="00C94DF6">
            <w:pPr>
              <w:jc w:val="center"/>
            </w:pPr>
          </w:p>
        </w:tc>
      </w:tr>
      <w:tr w:rsidR="006A305E" w14:paraId="5D8AD6A7" w14:textId="77777777" w:rsidTr="00C94DF6">
        <w:trPr>
          <w:trHeight w:val="454"/>
          <w:tblCellSpacing w:w="20" w:type="dxa"/>
        </w:trPr>
        <w:tc>
          <w:tcPr>
            <w:tcW w:w="2376" w:type="pct"/>
            <w:shd w:val="clear" w:color="auto" w:fill="auto"/>
            <w:vAlign w:val="center"/>
          </w:tcPr>
          <w:p w14:paraId="46C0EEA4" w14:textId="77777777" w:rsidR="006A305E" w:rsidRPr="004D6A74" w:rsidRDefault="006A305E" w:rsidP="00C94D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workshop</w:t>
            </w:r>
            <w:r w:rsidRPr="004D6A74">
              <w:rPr>
                <w:rFonts w:ascii="Arial" w:hAnsi="Arial" w:cs="Arial"/>
              </w:rPr>
              <w:t xml:space="preserve"> was well organised and coordinated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28FDDB8" w14:textId="61E5D4FF" w:rsidR="006A305E" w:rsidRDefault="00EA1691" w:rsidP="00C94DF6">
            <w:pPr>
              <w:jc w:val="center"/>
            </w:pPr>
            <w:r>
              <w:t>10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1439DB60" w14:textId="48D5348D" w:rsidR="006A305E" w:rsidRDefault="00EA1691" w:rsidP="00C94DF6">
            <w:pPr>
              <w:jc w:val="center"/>
            </w:pPr>
            <w:r>
              <w:t>9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0AA1AB59" w14:textId="715C1213" w:rsidR="006A305E" w:rsidRDefault="00DA438A" w:rsidP="00C94DF6">
            <w:pPr>
              <w:jc w:val="center"/>
            </w:pPr>
            <w: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77373505" w14:textId="77777777" w:rsidR="006A305E" w:rsidRDefault="006A305E" w:rsidP="00C94DF6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BF9E9CB" w14:textId="77777777" w:rsidR="006A305E" w:rsidRDefault="006A305E" w:rsidP="00C94DF6">
            <w:pPr>
              <w:jc w:val="center"/>
            </w:pPr>
          </w:p>
        </w:tc>
      </w:tr>
    </w:tbl>
    <w:p w14:paraId="6338D1AE" w14:textId="520A93ED" w:rsidR="00DA438A" w:rsidRPr="0020365C" w:rsidRDefault="006A305E" w:rsidP="00DA438A">
      <w:pPr>
        <w:rPr>
          <w:b/>
          <w:bCs/>
        </w:rPr>
      </w:pPr>
      <w:r>
        <w:tab/>
      </w:r>
      <w:r w:rsidR="0020365C" w:rsidRPr="0020365C">
        <w:rPr>
          <w:b/>
          <w:bCs/>
        </w:rPr>
        <w:t xml:space="preserve">Participant </w:t>
      </w:r>
      <w:r w:rsidR="00DA438A" w:rsidRPr="0020365C">
        <w:rPr>
          <w:b/>
          <w:bCs/>
        </w:rPr>
        <w:t>Comments</w:t>
      </w:r>
      <w:r w:rsidR="00EA1691">
        <w:rPr>
          <w:b/>
          <w:bCs/>
        </w:rPr>
        <w:t>:</w:t>
      </w:r>
    </w:p>
    <w:p w14:paraId="4077528E" w14:textId="71E2FDA5" w:rsidR="00450926" w:rsidRDefault="00450926" w:rsidP="00EA1691">
      <w:pPr>
        <w:pStyle w:val="ListParagraph"/>
        <w:numPr>
          <w:ilvl w:val="0"/>
          <w:numId w:val="6"/>
        </w:numPr>
        <w:spacing w:line="276" w:lineRule="auto"/>
      </w:pPr>
      <w:r>
        <w:t>The most useful part of the workshop considered by five participants was considering the indicators and protocols for monitoring (</w:t>
      </w:r>
      <w:r w:rsidR="0064460A">
        <w:t>x</w:t>
      </w:r>
      <w:r>
        <w:t>5) One person thought the most useful part of the workshop was the discussions</w:t>
      </w:r>
      <w:r w:rsidR="0064460A">
        <w:t xml:space="preserve"> (x1)</w:t>
      </w:r>
      <w:r>
        <w:t>.</w:t>
      </w:r>
    </w:p>
    <w:p w14:paraId="78295E22" w14:textId="1368703B" w:rsidR="00450926" w:rsidRDefault="00450926" w:rsidP="00EA1691">
      <w:pPr>
        <w:pStyle w:val="ListParagraph"/>
        <w:numPr>
          <w:ilvl w:val="0"/>
          <w:numId w:val="6"/>
        </w:numPr>
        <w:spacing w:line="276" w:lineRule="auto"/>
      </w:pPr>
      <w:r>
        <w:t>The first day was considered the least useful part of the workshop by two participants. One person thought there was u</w:t>
      </w:r>
      <w:r w:rsidRPr="00450926">
        <w:t>nnecessary dialogues that wasted time and were not related to the seminar</w:t>
      </w:r>
      <w:r w:rsidR="0064460A">
        <w:t xml:space="preserve"> (x1)</w:t>
      </w:r>
      <w:r>
        <w:t>.</w:t>
      </w:r>
    </w:p>
    <w:p w14:paraId="333E253A" w14:textId="462877C4" w:rsidR="00450926" w:rsidRDefault="00450926" w:rsidP="00EA1691">
      <w:pPr>
        <w:pStyle w:val="ListParagraph"/>
        <w:numPr>
          <w:ilvl w:val="0"/>
          <w:numId w:val="6"/>
        </w:numPr>
        <w:spacing w:line="276" w:lineRule="auto"/>
      </w:pPr>
      <w:r>
        <w:t>More time was requested to consider the Indicators and protocol for monitoring (x2) One person requested more time on quality assurance (x1)</w:t>
      </w:r>
    </w:p>
    <w:p w14:paraId="1987846B" w14:textId="5EA447E7" w:rsidR="00450926" w:rsidRDefault="0064460A" w:rsidP="00EA1691">
      <w:pPr>
        <w:pStyle w:val="ListParagraph"/>
        <w:numPr>
          <w:ilvl w:val="0"/>
          <w:numId w:val="6"/>
        </w:numPr>
        <w:spacing w:line="276" w:lineRule="auto"/>
      </w:pPr>
      <w:r>
        <w:t>Less time was required on the introductory part of the workshop (x1)</w:t>
      </w:r>
      <w:r w:rsidRPr="0064460A">
        <w:t xml:space="preserve"> Too many comments from some participants that were </w:t>
      </w:r>
      <w:r>
        <w:t xml:space="preserve">not </w:t>
      </w:r>
      <w:r w:rsidRPr="0064460A">
        <w:t>necessary</w:t>
      </w:r>
      <w:r>
        <w:t xml:space="preserve"> (x1) was also cited.</w:t>
      </w:r>
    </w:p>
    <w:p w14:paraId="3259B091" w14:textId="74F0A23A" w:rsidR="006A305E" w:rsidRPr="00DA438A" w:rsidRDefault="006A305E" w:rsidP="00450926">
      <w:pPr>
        <w:pStyle w:val="ListParagraph"/>
        <w:ind w:left="720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14:paraId="779B3D94" w14:textId="7A58990C" w:rsidR="00C13B02" w:rsidRPr="006F5F13" w:rsidRDefault="009B5577" w:rsidP="00C13B02">
      <w:r>
        <w:t>The Report made by Ian David Morris, key expert for quality assurance</w:t>
      </w:r>
    </w:p>
    <w:sectPr w:rsidR="00C13B02" w:rsidRPr="006F5F13" w:rsidSect="00EA1691">
      <w:headerReference w:type="default" r:id="rId9"/>
      <w:footerReference w:type="default" r:id="rId10"/>
      <w:type w:val="continuous"/>
      <w:pgSz w:w="11910" w:h="16840"/>
      <w:pgMar w:top="2376" w:right="907" w:bottom="2155" w:left="90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902E0" w14:textId="77777777" w:rsidR="00EF53F8" w:rsidRDefault="00EF53F8" w:rsidP="00C13B02">
      <w:r>
        <w:separator/>
      </w:r>
    </w:p>
  </w:endnote>
  <w:endnote w:type="continuationSeparator" w:id="0">
    <w:p w14:paraId="4FA581CD" w14:textId="77777777" w:rsidR="00EF53F8" w:rsidRDefault="00EF53F8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D39BD" w14:textId="77777777" w:rsidR="00664EA6" w:rsidRDefault="00664EA6">
    <w:pPr>
      <w:pStyle w:val="Footer"/>
      <w:rPr>
        <w:noProof/>
      </w:rPr>
    </w:pPr>
  </w:p>
  <w:p w14:paraId="2D2CBD9C" w14:textId="77777777" w:rsidR="00664EA6" w:rsidRDefault="0066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39285" w14:textId="77777777" w:rsidR="00EF53F8" w:rsidRDefault="00EF53F8" w:rsidP="00C13B02">
      <w:r>
        <w:separator/>
      </w:r>
    </w:p>
  </w:footnote>
  <w:footnote w:type="continuationSeparator" w:id="0">
    <w:p w14:paraId="63A8FB0D" w14:textId="77777777" w:rsidR="00EF53F8" w:rsidRDefault="00EF53F8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4ECAD" w14:textId="77777777" w:rsidR="00664EA6" w:rsidRDefault="003B6226" w:rsidP="00664EA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8EF91F9" wp14:editId="19BFEE74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C13B02" w:rsidRPr="00664EA6" w:rsidRDefault="00C13B02" w:rsidP="00664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969CA"/>
    <w:multiLevelType w:val="hybridMultilevel"/>
    <w:tmpl w:val="DF7C11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43D5"/>
    <w:multiLevelType w:val="hybridMultilevel"/>
    <w:tmpl w:val="042C7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857EF"/>
    <w:multiLevelType w:val="hybridMultilevel"/>
    <w:tmpl w:val="08B083A6"/>
    <w:lvl w:ilvl="0" w:tplc="3992FF54">
      <w:start w:val="1"/>
      <w:numFmt w:val="decimal"/>
      <w:lvlText w:val="%1."/>
      <w:lvlJc w:val="left"/>
      <w:pPr>
        <w:ind w:left="720" w:hanging="360"/>
      </w:pPr>
      <w:rPr>
        <w:rFonts w:ascii="Roboto" w:hAnsi="Roboto" w:cs="Roboto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D1420"/>
    <w:multiLevelType w:val="hybridMultilevel"/>
    <w:tmpl w:val="042C7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62B5E"/>
    <w:multiLevelType w:val="hybridMultilevel"/>
    <w:tmpl w:val="A66C1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937E6"/>
    <w:multiLevelType w:val="hybridMultilevel"/>
    <w:tmpl w:val="B3B497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74351"/>
    <w:rsid w:val="0020365C"/>
    <w:rsid w:val="00233C91"/>
    <w:rsid w:val="00274A78"/>
    <w:rsid w:val="002E5D54"/>
    <w:rsid w:val="002F698F"/>
    <w:rsid w:val="003665E7"/>
    <w:rsid w:val="00387770"/>
    <w:rsid w:val="003B6226"/>
    <w:rsid w:val="00450926"/>
    <w:rsid w:val="005147BB"/>
    <w:rsid w:val="005344A0"/>
    <w:rsid w:val="00574233"/>
    <w:rsid w:val="005A55B1"/>
    <w:rsid w:val="005F0185"/>
    <w:rsid w:val="005F20B6"/>
    <w:rsid w:val="006357D0"/>
    <w:rsid w:val="0064460A"/>
    <w:rsid w:val="0065636D"/>
    <w:rsid w:val="00664EA6"/>
    <w:rsid w:val="006A305E"/>
    <w:rsid w:val="006D1F89"/>
    <w:rsid w:val="006D729C"/>
    <w:rsid w:val="006F5F13"/>
    <w:rsid w:val="006F696F"/>
    <w:rsid w:val="0070772D"/>
    <w:rsid w:val="00813BC5"/>
    <w:rsid w:val="008723CC"/>
    <w:rsid w:val="008A7F06"/>
    <w:rsid w:val="008C6701"/>
    <w:rsid w:val="009B5577"/>
    <w:rsid w:val="00A2743C"/>
    <w:rsid w:val="00B46AF4"/>
    <w:rsid w:val="00BA1EC2"/>
    <w:rsid w:val="00BB647F"/>
    <w:rsid w:val="00BD05D7"/>
    <w:rsid w:val="00C13B02"/>
    <w:rsid w:val="00C366BA"/>
    <w:rsid w:val="00C94DF6"/>
    <w:rsid w:val="00D541CE"/>
    <w:rsid w:val="00DA438A"/>
    <w:rsid w:val="00E159F3"/>
    <w:rsid w:val="00E57A8F"/>
    <w:rsid w:val="00E61037"/>
    <w:rsid w:val="00E92AED"/>
    <w:rsid w:val="00EA1691"/>
    <w:rsid w:val="00EF53F8"/>
    <w:rsid w:val="00F9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B4A1DB18-01E7-408E-A5DA-C0DCD5DB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en-GB" w:eastAsia="pl-PL" w:bidi="pl-PL"/>
    </w:rPr>
  </w:style>
  <w:style w:type="paragraph" w:styleId="Heading1">
    <w:name w:val="heading 1"/>
    <w:basedOn w:val="Normal"/>
    <w:next w:val="Normal"/>
    <w:link w:val="Heading1Char"/>
    <w:qFormat/>
    <w:rsid w:val="006A305E"/>
    <w:pPr>
      <w:keepNext/>
      <w:widowControl/>
      <w:autoSpaceDE/>
      <w:autoSpaceDN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4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43C"/>
    <w:rPr>
      <w:rFonts w:ascii="Segoe UI" w:eastAsia="Roboto" w:hAnsi="Segoe UI" w:cs="Segoe UI"/>
      <w:sz w:val="18"/>
      <w:szCs w:val="18"/>
      <w:lang w:val="en-GB" w:eastAsia="pl-PL" w:bidi="pl-PL"/>
    </w:rPr>
  </w:style>
  <w:style w:type="character" w:customStyle="1" w:styleId="Heading1Char">
    <w:name w:val="Heading 1 Char"/>
    <w:basedOn w:val="DefaultParagraphFont"/>
    <w:link w:val="Heading1"/>
    <w:rsid w:val="006A305E"/>
    <w:rPr>
      <w:rFonts w:ascii="Arial" w:eastAsia="Times New Roman" w:hAnsi="Arial" w:cs="Arial"/>
      <w:b/>
      <w:bCs/>
      <w:kern w:val="32"/>
      <w:sz w:val="32"/>
      <w:szCs w:val="32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5D422-2E72-2F44-90C7-74B8EE3D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5165</Characters>
  <Application>Microsoft Office Word</Application>
  <DocSecurity>0</DocSecurity>
  <Lines>72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Boris Curkovic</cp:lastModifiedBy>
  <cp:revision>2</cp:revision>
  <cp:lastPrinted>2019-09-19T12:21:00Z</cp:lastPrinted>
  <dcterms:created xsi:type="dcterms:W3CDTF">2020-04-06T15:17:00Z</dcterms:created>
  <dcterms:modified xsi:type="dcterms:W3CDTF">2020-04-06T15:17:00Z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