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ADBC" w14:textId="513ED6C1" w:rsidR="00621574" w:rsidRPr="00017BF0" w:rsidRDefault="00621574" w:rsidP="00153DA1">
      <w:pPr>
        <w:tabs>
          <w:tab w:val="left" w:pos="421"/>
          <w:tab w:val="center" w:pos="4680"/>
        </w:tabs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 xml:space="preserve">NAZIV ŠKOLE: </w:t>
      </w:r>
      <w:r w:rsidR="006053D3">
        <w:rPr>
          <w:rFonts w:cstheme="minorHAnsi"/>
          <w:b/>
          <w:sz w:val="32"/>
          <w:szCs w:val="32"/>
        </w:rPr>
        <w:t>JUOŠ „</w:t>
      </w:r>
      <w:r w:rsidR="001051B7">
        <w:rPr>
          <w:rFonts w:cstheme="minorHAnsi"/>
          <w:b/>
          <w:sz w:val="32"/>
          <w:szCs w:val="32"/>
        </w:rPr>
        <w:t>Nikola Đurković</w:t>
      </w:r>
      <w:r w:rsidR="006053D3">
        <w:rPr>
          <w:rFonts w:cstheme="minorHAnsi"/>
          <w:b/>
          <w:sz w:val="32"/>
          <w:szCs w:val="32"/>
        </w:rPr>
        <w:t>“</w:t>
      </w:r>
      <w:r w:rsidR="001051B7">
        <w:rPr>
          <w:rFonts w:cstheme="minorHAnsi"/>
          <w:b/>
          <w:sz w:val="32"/>
          <w:szCs w:val="32"/>
        </w:rPr>
        <w:t>- Radanovići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0B88F93B" w14:textId="77777777" w:rsidR="00691350" w:rsidRPr="00017BF0" w:rsidRDefault="00691350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5FD67D2" w14:textId="7FBD4E3C" w:rsidR="00621574" w:rsidRDefault="001051B7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Zoran Milićević</w:t>
      </w:r>
      <w:r w:rsidR="004028DC">
        <w:rPr>
          <w:rFonts w:cstheme="minorHAnsi"/>
          <w:b/>
          <w:sz w:val="32"/>
          <w:szCs w:val="32"/>
        </w:rPr>
        <w:t>, direktor</w:t>
      </w:r>
    </w:p>
    <w:p w14:paraId="74BFE3B6" w14:textId="3D50206D" w:rsidR="001051B7" w:rsidRPr="00017BF0" w:rsidRDefault="001051B7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Maja Radović, prof. razredne nastave</w:t>
      </w:r>
    </w:p>
    <w:p w14:paraId="1317EBF5" w14:textId="514C4F8D" w:rsidR="00621574" w:rsidRPr="00017BF0" w:rsidRDefault="00621574" w:rsidP="004028D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1F99A2A6" w14:textId="30E250F9" w:rsidR="00C74B61" w:rsidRDefault="00EA7F51" w:rsidP="00EA7F51">
      <w:pPr>
        <w:ind w:firstLine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Nagle promjene u svijetu ekonomije i tehnologije reflektovale su se na cjelokupno društvo. </w:t>
      </w:r>
      <w:r w:rsidR="003075C8">
        <w:rPr>
          <w:rFonts w:cstheme="minorHAnsi"/>
          <w:bCs/>
          <w:sz w:val="24"/>
          <w:szCs w:val="24"/>
        </w:rPr>
        <w:t xml:space="preserve">Zahtjevi savremenog društva su takvi da obrazovanost i pismenost poprima veoma složene oblike. Školski sistem 21. vijeka našao se pred izazovom, koji podrazumijeva usvajanje temeljnih, lako promjenljivih znanja. </w:t>
      </w:r>
      <w:r w:rsidR="002D05D8">
        <w:rPr>
          <w:rFonts w:cstheme="minorHAnsi"/>
          <w:bCs/>
          <w:sz w:val="24"/>
          <w:szCs w:val="24"/>
        </w:rPr>
        <w:t>Shodno tome, savremena škola sve više teži sticanju trajnih znanja, vještina i umijeća, odnosno kompetencija. Oslanjajući se na praksu evropskih, savremnih škola, kao i na Preporuke o ključnim kompetencijama za cjeloživotno učenje Evropskog parlamenta i Vijeća Evropske unije, naša Škola teži usklađivanju Godišnjeg plana rada s</w:t>
      </w:r>
      <w:r w:rsidR="00D83FFC">
        <w:rPr>
          <w:rFonts w:cstheme="minorHAnsi"/>
          <w:bCs/>
          <w:sz w:val="24"/>
          <w:szCs w:val="24"/>
        </w:rPr>
        <w:t>a sistemom obrazovanja u Evropskoj uniji.</w:t>
      </w:r>
      <w:r>
        <w:rPr>
          <w:rFonts w:cstheme="minorHAnsi"/>
          <w:bCs/>
          <w:sz w:val="24"/>
          <w:szCs w:val="24"/>
        </w:rPr>
        <w:t xml:space="preserve"> U godišnjim planovima nastojimo da obuhvatimo što više ključnih kompetencija, kako bismo naše učenike što bolje pripremili za buduća zanimanja, ali i za cjeloživotno učenje. Pored razvoja ključnih kompetencija kod učenika, akcenat je stavljen i na razvoj ključnih kompetencija kod nastavnika i roditelja. </w:t>
      </w:r>
    </w:p>
    <w:p w14:paraId="741E3A29" w14:textId="47875C9F" w:rsidR="001051B7" w:rsidRDefault="00AD4A47" w:rsidP="002D74FB">
      <w:p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</w:t>
      </w:r>
    </w:p>
    <w:p w14:paraId="2EF91841" w14:textId="0E1CCFAA" w:rsidR="00AD4A47" w:rsidRDefault="00AD4A47" w:rsidP="002D74FB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8"/>
          <w:szCs w:val="28"/>
        </w:rPr>
        <w:tab/>
      </w:r>
      <w:r w:rsidRPr="00AD4A47">
        <w:rPr>
          <w:rFonts w:cstheme="minorHAnsi"/>
          <w:bCs/>
          <w:sz w:val="24"/>
          <w:szCs w:val="24"/>
        </w:rPr>
        <w:t xml:space="preserve">Do ključnih promjena u sagledavanju obrazovanja došlo je 2006. godine, kada su Evropski parlament i Vijeće Evropske unije usvojili preporuku o ključnim kompetencijama. </w:t>
      </w:r>
      <w:r>
        <w:rPr>
          <w:rFonts w:cstheme="minorHAnsi"/>
          <w:bCs/>
          <w:sz w:val="24"/>
          <w:szCs w:val="24"/>
        </w:rPr>
        <w:t xml:space="preserve"> Usvajanjem ovog doku</w:t>
      </w:r>
      <w:r w:rsidR="002D74FB">
        <w:rPr>
          <w:rFonts w:cstheme="minorHAnsi"/>
          <w:bCs/>
          <w:sz w:val="24"/>
          <w:szCs w:val="24"/>
        </w:rPr>
        <w:t>menta</w:t>
      </w:r>
      <w:r>
        <w:rPr>
          <w:rFonts w:cstheme="minorHAnsi"/>
          <w:bCs/>
          <w:sz w:val="24"/>
          <w:szCs w:val="24"/>
        </w:rPr>
        <w:t>, odnosno usvajnajem Evropskog referentnog okvira, stvoren je uslov za izmjene u obrazovnim sistemima Evrope. Crnogroski referentni okvir naslanja se n</w:t>
      </w:r>
      <w:r w:rsidR="002D74FB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</w:t>
      </w:r>
      <w:r w:rsidR="002D74FB">
        <w:rPr>
          <w:rFonts w:cstheme="minorHAnsi"/>
          <w:bCs/>
          <w:sz w:val="24"/>
          <w:szCs w:val="24"/>
        </w:rPr>
        <w:t>suštinske stavke</w:t>
      </w:r>
      <w:r>
        <w:rPr>
          <w:rFonts w:cstheme="minorHAnsi"/>
          <w:bCs/>
          <w:sz w:val="24"/>
          <w:szCs w:val="24"/>
        </w:rPr>
        <w:t xml:space="preserve">                            iznijete u Evropskom referentnom okviru. Referntni okvir podrazumijeva izdvajanje ključnih kompetencija u obrazovanju. Crnogorski referntni okvir jasno izdvaja osam ključnih kompetencija. </w:t>
      </w:r>
    </w:p>
    <w:p w14:paraId="2CABA81A" w14:textId="31D2B8F1" w:rsidR="00AD4A47" w:rsidRPr="00AD4A47" w:rsidRDefault="00AD4A47" w:rsidP="00EA7F5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 xml:space="preserve"> Naslanjajući se pomenuta dokumenta, naša škola formirala je sledeići Plan integracije ključnih kompetencija:</w:t>
      </w:r>
    </w:p>
    <w:p w14:paraId="08E5C4DE" w14:textId="71BE2F58" w:rsidR="001051B7" w:rsidRDefault="001051B7" w:rsidP="00714DF5">
      <w:pPr>
        <w:jc w:val="center"/>
        <w:rPr>
          <w:rFonts w:cstheme="minorHAnsi"/>
          <w:bCs/>
          <w:sz w:val="28"/>
          <w:szCs w:val="28"/>
        </w:rPr>
      </w:pPr>
    </w:p>
    <w:p w14:paraId="282B33BD" w14:textId="1C6C9B60" w:rsidR="001051B7" w:rsidRDefault="001051B7" w:rsidP="00714DF5">
      <w:pPr>
        <w:jc w:val="center"/>
        <w:rPr>
          <w:rFonts w:cstheme="minorHAnsi"/>
          <w:bCs/>
          <w:sz w:val="28"/>
          <w:szCs w:val="28"/>
        </w:rPr>
      </w:pPr>
    </w:p>
    <w:p w14:paraId="0D9170D1" w14:textId="1FA1CB95" w:rsidR="001051B7" w:rsidRDefault="001051B7" w:rsidP="00714DF5">
      <w:pPr>
        <w:jc w:val="center"/>
        <w:rPr>
          <w:rFonts w:cstheme="minorHAnsi"/>
          <w:bCs/>
          <w:sz w:val="28"/>
          <w:szCs w:val="28"/>
        </w:rPr>
      </w:pPr>
    </w:p>
    <w:p w14:paraId="1D0BDBD0" w14:textId="6AFC7561" w:rsidR="001051B7" w:rsidRDefault="001051B7" w:rsidP="00714DF5">
      <w:pPr>
        <w:jc w:val="center"/>
        <w:rPr>
          <w:rFonts w:cstheme="minorHAnsi"/>
          <w:bCs/>
          <w:sz w:val="28"/>
          <w:szCs w:val="28"/>
        </w:rPr>
      </w:pPr>
    </w:p>
    <w:p w14:paraId="722FFAA1" w14:textId="35AEDE03" w:rsidR="001051B7" w:rsidRDefault="001051B7" w:rsidP="00714DF5">
      <w:pPr>
        <w:jc w:val="center"/>
        <w:rPr>
          <w:rFonts w:cstheme="minorHAnsi"/>
          <w:bCs/>
          <w:sz w:val="28"/>
          <w:szCs w:val="28"/>
        </w:rPr>
      </w:pPr>
    </w:p>
    <w:p w14:paraId="1087E5BF" w14:textId="48857CE5" w:rsidR="001051B7" w:rsidRDefault="001051B7" w:rsidP="00714DF5">
      <w:pPr>
        <w:jc w:val="center"/>
        <w:rPr>
          <w:rFonts w:cstheme="minorHAnsi"/>
          <w:bCs/>
          <w:sz w:val="28"/>
          <w:szCs w:val="28"/>
        </w:rPr>
      </w:pPr>
    </w:p>
    <w:p w14:paraId="15B32224" w14:textId="77777777" w:rsidR="00B86FEC" w:rsidRDefault="00B86FEC" w:rsidP="00AD4A47">
      <w:pPr>
        <w:rPr>
          <w:rFonts w:cstheme="minorHAnsi"/>
          <w:b/>
          <w:sz w:val="32"/>
          <w:szCs w:val="32"/>
        </w:rPr>
      </w:pPr>
    </w:p>
    <w:p w14:paraId="5CD55AA6" w14:textId="7C0DD3BB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lastRenderedPageBreak/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17BF0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17BF0" w14:paraId="11F7120C" w14:textId="77777777" w:rsidTr="0011548E">
        <w:tc>
          <w:tcPr>
            <w:tcW w:w="3507" w:type="dxa"/>
            <w:shd w:val="clear" w:color="auto" w:fill="auto"/>
            <w:vAlign w:val="center"/>
          </w:tcPr>
          <w:p w14:paraId="18C01164" w14:textId="7D73B13E" w:rsidR="00621574" w:rsidRPr="00017BF0" w:rsidRDefault="00B96E7A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Predstavljanje Akcionog plana za implementaciju ključnih kompetencija</w:t>
            </w:r>
          </w:p>
          <w:p w14:paraId="1B67DD8E" w14:textId="77777777" w:rsidR="00621574" w:rsidRPr="00017BF0" w:rsidRDefault="00621574" w:rsidP="0011548E">
            <w:pPr>
              <w:rPr>
                <w:rFonts w:cstheme="minorHAnsi"/>
                <w:sz w:val="20"/>
                <w:szCs w:val="20"/>
              </w:rPr>
            </w:pPr>
          </w:p>
          <w:p w14:paraId="1AD72386" w14:textId="77777777" w:rsidR="00621574" w:rsidRPr="00017BF0" w:rsidRDefault="00621574" w:rsidP="0011548E">
            <w:pPr>
              <w:rPr>
                <w:rFonts w:cstheme="minorHAnsi"/>
                <w:sz w:val="20"/>
                <w:szCs w:val="20"/>
              </w:rPr>
            </w:pPr>
          </w:p>
          <w:p w14:paraId="4A7A9DBA" w14:textId="77777777" w:rsidR="00621574" w:rsidRPr="00017BF0" w:rsidRDefault="00621574" w:rsidP="001154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14:paraId="5D01BE70" w14:textId="5C51F717" w:rsidR="00621574" w:rsidRPr="00017BF0" w:rsidRDefault="00A1351B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Osvježiti saznanja nastavnika o ključn</w:t>
            </w:r>
            <w:r w:rsidR="00B96E7A">
              <w:rPr>
                <w:rFonts w:cstheme="minorHAnsi"/>
                <w:sz w:val="20"/>
                <w:szCs w:val="20"/>
              </w:rPr>
              <w:t xml:space="preserve">im kompetencijama i ohrabriti ih za nastavak zajednickog angažmana na njihovom daljem razvoju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6F3AEAC" w14:textId="4F810FBC" w:rsidR="00621574" w:rsidRPr="00017BF0" w:rsidRDefault="00B96E7A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 i pedagog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D80CA1C" w14:textId="36C06A96" w:rsidR="00621574" w:rsidRPr="00017BF0" w:rsidRDefault="00B96E7A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Oktobar 2020</w:t>
            </w:r>
            <w:r w:rsidR="00636A4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D674E9" w14:textId="68CD3A0E" w:rsidR="00621574" w:rsidRPr="00017BF0" w:rsidRDefault="00B96E7A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Preporuka ključnih kompetencija za cjeloživotno učenje (2006)</w:t>
            </w:r>
            <w:r w:rsidR="00E81700">
              <w:rPr>
                <w:rFonts w:cstheme="minorHAnsi"/>
                <w:sz w:val="20"/>
                <w:szCs w:val="20"/>
              </w:rPr>
              <w:t>,Crnogorski okvirni program i</w:t>
            </w:r>
            <w:r>
              <w:rPr>
                <w:rFonts w:cstheme="minorHAnsi"/>
                <w:sz w:val="20"/>
                <w:szCs w:val="20"/>
              </w:rPr>
              <w:t xml:space="preserve"> Plan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E4FAEF0" w14:textId="1C77EF6E" w:rsidR="00621574" w:rsidRPr="00017BF0" w:rsidRDefault="00B96E7A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Zapisnik sa sjedni</w:t>
            </w:r>
            <w:r w:rsidR="00E81700">
              <w:rPr>
                <w:rFonts w:cstheme="minorHAnsi"/>
                <w:sz w:val="20"/>
                <w:szCs w:val="20"/>
              </w:rPr>
              <w:t>ce NV</w:t>
            </w:r>
          </w:p>
        </w:tc>
      </w:tr>
      <w:tr w:rsidR="00E67C19" w:rsidRPr="00017BF0" w14:paraId="63627F35" w14:textId="77777777" w:rsidTr="0011548E">
        <w:tc>
          <w:tcPr>
            <w:tcW w:w="3507" w:type="dxa"/>
            <w:shd w:val="clear" w:color="auto" w:fill="auto"/>
            <w:vAlign w:val="center"/>
          </w:tcPr>
          <w:p w14:paraId="3FBE0EEB" w14:textId="6273567D" w:rsidR="00E67C19" w:rsidRDefault="00E67C19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Prnš- Usavršavanje nastavnika 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794F2C74" w14:textId="0FDFDED5" w:rsidR="00E67C19" w:rsidRDefault="00E67C1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Osvježiti i produbiti znanja o sredstvima za učenje na daljinu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D694B3C" w14:textId="794BA03E" w:rsidR="00E67C19" w:rsidRDefault="00E67C1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prof.inormatike (ICTkordinator)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B78289E" w14:textId="766988FE" w:rsidR="00E67C19" w:rsidRDefault="00E67C1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oktobar 2020.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BBB1DEC" w14:textId="440965BA" w:rsidR="00E67C19" w:rsidRDefault="00E67C1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kompjuterska učionica, ogledni čas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477CF8F" w14:textId="655B088A" w:rsidR="00E67C19" w:rsidRDefault="00E67C1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Dnevnik PRNŠ-a i Dnevnik rada</w:t>
            </w:r>
          </w:p>
        </w:tc>
      </w:tr>
      <w:tr w:rsidR="00E67C19" w:rsidRPr="00017BF0" w14:paraId="444D12A5" w14:textId="77777777" w:rsidTr="0011548E">
        <w:tc>
          <w:tcPr>
            <w:tcW w:w="3507" w:type="dxa"/>
            <w:shd w:val="clear" w:color="auto" w:fill="auto"/>
            <w:vAlign w:val="center"/>
          </w:tcPr>
          <w:p w14:paraId="320E41BD" w14:textId="58DCF81D" w:rsidR="00E67C19" w:rsidRDefault="00E67C19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Upoznavaje roditelja sa Evropskim okvirom obrazovanja i sistemom ključnih kompetencija 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67FCB62A" w14:textId="2C1E267B" w:rsidR="00E67C19" w:rsidRDefault="00E67C1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podizanje svijesti o značaju </w:t>
            </w:r>
            <w:r w:rsidR="00D5298E">
              <w:rPr>
                <w:rFonts w:cstheme="minorHAnsi"/>
                <w:sz w:val="20"/>
                <w:szCs w:val="20"/>
              </w:rPr>
              <w:t xml:space="preserve">rayvoja ključnih kompetencija </w:t>
            </w:r>
            <w:r>
              <w:rPr>
                <w:rFonts w:cstheme="minorHAnsi"/>
                <w:sz w:val="20"/>
                <w:szCs w:val="20"/>
              </w:rPr>
              <w:t>kod roditelja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4E56689" w14:textId="5B7CB0CD" w:rsidR="00E67C19" w:rsidRDefault="00D5298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 i Savjet roditelja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9B8A95" w14:textId="7616A622" w:rsidR="00E67C19" w:rsidRDefault="00E67C1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novembar 2020.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5AE1A62" w14:textId="2D16CF6C" w:rsidR="00D5298E" w:rsidRDefault="00D5298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Crnogorski okvir programa ključnih kompetencija </w:t>
            </w:r>
          </w:p>
          <w:p w14:paraId="1D2056CA" w14:textId="59978AA1" w:rsidR="00E67C19" w:rsidRDefault="00E67C1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Savjet roditelja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241CE4F" w14:textId="77777777" w:rsidR="00D5298E" w:rsidRDefault="00E67C1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prezentacije</w:t>
            </w:r>
            <w:r w:rsidR="00D5298E">
              <w:rPr>
                <w:rFonts w:cstheme="minorHAnsi"/>
                <w:sz w:val="20"/>
                <w:szCs w:val="20"/>
              </w:rPr>
              <w:t>,</w:t>
            </w:r>
          </w:p>
          <w:p w14:paraId="7CAE42FE" w14:textId="5F708522" w:rsidR="00E67C19" w:rsidRDefault="00E67C1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edukativni materijal za roditelje</w:t>
            </w:r>
            <w:r w:rsidR="00D5298E">
              <w:rPr>
                <w:rFonts w:cstheme="minorHAnsi"/>
                <w:sz w:val="20"/>
                <w:szCs w:val="20"/>
              </w:rPr>
              <w:t xml:space="preserve"> i zapisnici o radu Savjeta roditelja</w:t>
            </w:r>
          </w:p>
        </w:tc>
      </w:tr>
      <w:tr w:rsidR="002D05D8" w:rsidRPr="00017BF0" w14:paraId="3B0105C9" w14:textId="77777777" w:rsidTr="0011548E">
        <w:tc>
          <w:tcPr>
            <w:tcW w:w="3507" w:type="dxa"/>
            <w:shd w:val="clear" w:color="auto" w:fill="auto"/>
            <w:vAlign w:val="center"/>
          </w:tcPr>
          <w:p w14:paraId="25A434CE" w14:textId="7BC6BBF8" w:rsidR="002D05D8" w:rsidRDefault="00636A44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Obilježavanje dječije nedelje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278A768A" w14:textId="04C099FE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Razvijaje svijesti o pravima djeteta, kao i svijesti o značaju djeteta kao jedinke u društvu</w:t>
            </w:r>
            <w:r w:rsidR="00D5298E">
              <w:rPr>
                <w:rFonts w:cstheme="minorHAnsi"/>
                <w:sz w:val="20"/>
                <w:szCs w:val="20"/>
              </w:rPr>
              <w:t>, odnosno razvijanje građanske kompetencije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5F24C5A" w14:textId="6ED2F21D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svi nastavnici i pedagog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B67BF5C" w14:textId="428A5440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oktobar 2020.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624FBC6" w14:textId="26AC75D1" w:rsidR="002D05D8" w:rsidRDefault="00D5298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Konvencija o pravima djeteta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3DB9C1F" w14:textId="03836962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učenički radovi, fotografije, Ljetopis škole</w:t>
            </w:r>
          </w:p>
        </w:tc>
      </w:tr>
      <w:tr w:rsidR="002D05D8" w:rsidRPr="00017BF0" w14:paraId="329595C4" w14:textId="77777777" w:rsidTr="0011548E">
        <w:tc>
          <w:tcPr>
            <w:tcW w:w="3507" w:type="dxa"/>
            <w:shd w:val="clear" w:color="auto" w:fill="auto"/>
            <w:vAlign w:val="center"/>
          </w:tcPr>
          <w:p w14:paraId="714DEF69" w14:textId="0565BE6F" w:rsidR="002D05D8" w:rsidRDefault="00636A44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Dani nauke i tehnike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55E67738" w14:textId="7815B2F5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Produbljivanje znanja o nauci i tehnici, sa osvrtom na naučna dostignuća. </w:t>
            </w:r>
            <w:r w:rsidR="00506A69">
              <w:rPr>
                <w:rFonts w:cstheme="minorHAnsi"/>
                <w:sz w:val="20"/>
                <w:szCs w:val="20"/>
              </w:rPr>
              <w:t>Unapređivanje naučne i tehnološke kompetencije (3. i 4.)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57E8872" w14:textId="77777777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prof.hemije i biologije</w:t>
            </w:r>
          </w:p>
          <w:p w14:paraId="54AA287F" w14:textId="77777777" w:rsidR="00636A44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matematike</w:t>
            </w:r>
          </w:p>
          <w:p w14:paraId="057884BA" w14:textId="64BDB600" w:rsidR="00636A44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fizike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B887DD4" w14:textId="617A1640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novembar 2020.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E5018F0" w14:textId="49B4DEDC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kompjuterska učionica, školski vrt, školska labaratorija, ogledni časovi 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1D990D2" w14:textId="79A641DD" w:rsidR="002D05D8" w:rsidRDefault="00506A6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fotografije, video snimci, učenički radovi, Ljetopis škole</w:t>
            </w:r>
          </w:p>
        </w:tc>
      </w:tr>
      <w:tr w:rsidR="002D05D8" w:rsidRPr="00017BF0" w14:paraId="46D664B1" w14:textId="77777777" w:rsidTr="0011548E">
        <w:tc>
          <w:tcPr>
            <w:tcW w:w="3507" w:type="dxa"/>
            <w:shd w:val="clear" w:color="auto" w:fill="auto"/>
            <w:vAlign w:val="center"/>
          </w:tcPr>
          <w:p w14:paraId="7173A8FD" w14:textId="104B213C" w:rsidR="002D05D8" w:rsidRDefault="00506A69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Organizacija Novogodišnjeg bazara  sa proizvodima od recikliranog materijala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7D26F45B" w14:textId="62551CA5" w:rsidR="002D05D8" w:rsidRDefault="00506A6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ekološke svijesti, građanske</w:t>
            </w:r>
            <w:r w:rsidR="00D5298E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="00D5298E">
              <w:rPr>
                <w:rFonts w:cstheme="minorHAnsi"/>
                <w:sz w:val="20"/>
                <w:szCs w:val="20"/>
              </w:rPr>
              <w:t xml:space="preserve">nterpersonalne i </w:t>
            </w:r>
            <w:r>
              <w:rPr>
                <w:rFonts w:cstheme="minorHAnsi"/>
                <w:sz w:val="20"/>
                <w:szCs w:val="20"/>
              </w:rPr>
              <w:t xml:space="preserve"> preduzetničke kompetencije kod učenika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A795067" w14:textId="7E1B11A3" w:rsidR="002D05D8" w:rsidRDefault="00506A6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svi nastavnici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B0E574E" w14:textId="08292655" w:rsidR="002D05D8" w:rsidRDefault="00506A6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decembar 2020.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0384E02" w14:textId="4241F4AD" w:rsidR="002D05D8" w:rsidRDefault="00D5298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materijal za rad, </w:t>
            </w:r>
            <w:r w:rsidR="00DD24B0">
              <w:rPr>
                <w:rFonts w:cstheme="minorHAnsi"/>
                <w:sz w:val="20"/>
                <w:szCs w:val="20"/>
              </w:rPr>
              <w:t xml:space="preserve">učionice, školska radionica, </w:t>
            </w:r>
            <w:r>
              <w:rPr>
                <w:rFonts w:cstheme="minorHAnsi"/>
                <w:sz w:val="20"/>
                <w:szCs w:val="20"/>
              </w:rPr>
              <w:t>prodajni prostor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B159A8A" w14:textId="7E0A6DAE" w:rsidR="002D05D8" w:rsidRDefault="00506A6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učenički radovi-proizvodi, </w:t>
            </w:r>
            <w:r w:rsidR="00DD24B0">
              <w:rPr>
                <w:rFonts w:cstheme="minorHAnsi"/>
                <w:sz w:val="20"/>
                <w:szCs w:val="20"/>
              </w:rPr>
              <w:t>fotografije, Ljetopis škole</w:t>
            </w:r>
          </w:p>
        </w:tc>
      </w:tr>
      <w:tr w:rsidR="00506A69" w:rsidRPr="00017BF0" w14:paraId="5328853B" w14:textId="77777777" w:rsidTr="0011548E">
        <w:tc>
          <w:tcPr>
            <w:tcW w:w="3507" w:type="dxa"/>
            <w:shd w:val="clear" w:color="auto" w:fill="auto"/>
            <w:vAlign w:val="center"/>
          </w:tcPr>
          <w:p w14:paraId="2986CCBB" w14:textId="0303A06E" w:rsidR="00506A69" w:rsidRDefault="00DD24B0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Redizajn školskog sajta 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3368EAEA" w14:textId="77C0D0F7" w:rsidR="00506A69" w:rsidRDefault="00DD24B0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Razvijanje digitalnih kompetencija kod učenika kroz uključivanje  u rad na školskom sajtu sa ciljem promocije škole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B08E9B3" w14:textId="64745D7E" w:rsidR="00506A69" w:rsidRDefault="00DD24B0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prof.informatike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FFA57EF" w14:textId="172E9254" w:rsidR="00506A69" w:rsidRDefault="00D5298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 2020/2021</w:t>
            </w:r>
            <w:r w:rsidR="00DD24B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20C58D8" w14:textId="043909DA" w:rsidR="00506A69" w:rsidRDefault="00DD24B0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kompjuterska učionica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EB93B65" w14:textId="154555DC" w:rsidR="00506A69" w:rsidRDefault="00DD24B0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školski sajt</w:t>
            </w:r>
          </w:p>
        </w:tc>
      </w:tr>
      <w:tr w:rsidR="002D05D8" w:rsidRPr="00017BF0" w14:paraId="2BCFFAA0" w14:textId="77777777" w:rsidTr="0011548E">
        <w:tc>
          <w:tcPr>
            <w:tcW w:w="3507" w:type="dxa"/>
            <w:shd w:val="clear" w:color="auto" w:fill="auto"/>
            <w:vAlign w:val="center"/>
          </w:tcPr>
          <w:p w14:paraId="3A226B76" w14:textId="77777777" w:rsidR="00D5298E" w:rsidRDefault="00D5298E" w:rsidP="0011548E">
            <w:pPr>
              <w:rPr>
                <w:rFonts w:cstheme="minorHAnsi"/>
                <w:sz w:val="20"/>
                <w:szCs w:val="20"/>
              </w:rPr>
            </w:pPr>
          </w:p>
          <w:p w14:paraId="5A06B541" w14:textId="70B06513" w:rsidR="002D05D8" w:rsidRDefault="00D83FFC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Obilježavanje Svjetskog dana maternjeg jezika</w:t>
            </w:r>
          </w:p>
          <w:p w14:paraId="7B6E42A1" w14:textId="77777777" w:rsidR="00DD24B0" w:rsidRDefault="00DD24B0" w:rsidP="0011548E">
            <w:pPr>
              <w:rPr>
                <w:rFonts w:cstheme="minorHAnsi"/>
                <w:sz w:val="20"/>
                <w:szCs w:val="20"/>
              </w:rPr>
            </w:pPr>
          </w:p>
          <w:p w14:paraId="0503D444" w14:textId="77777777" w:rsidR="00DD24B0" w:rsidRDefault="00DD24B0" w:rsidP="0011548E">
            <w:pPr>
              <w:rPr>
                <w:rFonts w:cstheme="minorHAnsi"/>
                <w:sz w:val="20"/>
                <w:szCs w:val="20"/>
              </w:rPr>
            </w:pPr>
          </w:p>
          <w:p w14:paraId="486B96C1" w14:textId="77777777" w:rsidR="00DD24B0" w:rsidRDefault="00DD24B0" w:rsidP="0011548E">
            <w:pPr>
              <w:rPr>
                <w:rFonts w:cstheme="minorHAnsi"/>
                <w:sz w:val="20"/>
                <w:szCs w:val="20"/>
              </w:rPr>
            </w:pPr>
          </w:p>
          <w:p w14:paraId="77689A3D" w14:textId="7EF2EC99" w:rsidR="00DD24B0" w:rsidRDefault="00DD24B0" w:rsidP="001154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14:paraId="02F20E59" w14:textId="4F6F918C" w:rsidR="002D05D8" w:rsidRDefault="00D83FFC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jezički kompetencija kod učenika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C0D570B" w14:textId="77777777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prof.csbh jezika i književnosti</w:t>
            </w:r>
          </w:p>
          <w:p w14:paraId="76A4A1E2" w14:textId="7B57825B" w:rsidR="00DD24B0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razredne </w:t>
            </w:r>
          </w:p>
          <w:p w14:paraId="1B1D2D4C" w14:textId="3B1D85D9" w:rsidR="00636A44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95F8298" w14:textId="3461333D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 202</w:t>
            </w:r>
            <w:r w:rsidR="00E67C1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021E4B9" w14:textId="4830A845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Biblioteka, hol škole, ogledni časovi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F506F70" w14:textId="40AF4024" w:rsidR="002D05D8" w:rsidRDefault="00636A44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učenički radovi, Ljetopis škole, fotografije</w:t>
            </w:r>
          </w:p>
        </w:tc>
      </w:tr>
      <w:tr w:rsidR="002D05D8" w:rsidRPr="00017BF0" w14:paraId="27447E6C" w14:textId="77777777" w:rsidTr="0011548E">
        <w:tc>
          <w:tcPr>
            <w:tcW w:w="3507" w:type="dxa"/>
            <w:shd w:val="clear" w:color="auto" w:fill="auto"/>
            <w:vAlign w:val="center"/>
          </w:tcPr>
          <w:p w14:paraId="4947EA21" w14:textId="2C57A5C8" w:rsidR="002D05D8" w:rsidRDefault="001D6C18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Projektna nastava - projekat ,,Znameniti Bokelji“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66EDBF4A" w14:textId="4FD542D6" w:rsidR="002D05D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kulturološke svijesti i izrašavanja, kao i jezičkih kompetencija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9D068C7" w14:textId="3AF36E55" w:rsidR="002D05D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prof.razredne nastave, prof.istorije, prof.csbh jezika i književnosti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B506D89" w14:textId="6B835E67" w:rsidR="002D05D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III-VI  202</w:t>
            </w:r>
            <w:r w:rsidR="00E67C1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7871968" w14:textId="6E682F20" w:rsidR="002D05D8" w:rsidRDefault="007251CD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arhivske zbirke, kompjuterska učionica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4E66F31" w14:textId="52622733" w:rsidR="002D05D8" w:rsidRDefault="007251CD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fotografije, prezentacije, Ljetopis škole</w:t>
            </w:r>
          </w:p>
        </w:tc>
      </w:tr>
      <w:tr w:rsidR="002D05D8" w:rsidRPr="00017BF0" w14:paraId="38AB515D" w14:textId="77777777" w:rsidTr="0011548E">
        <w:tc>
          <w:tcPr>
            <w:tcW w:w="3507" w:type="dxa"/>
            <w:shd w:val="clear" w:color="auto" w:fill="auto"/>
            <w:vAlign w:val="center"/>
          </w:tcPr>
          <w:p w14:paraId="0928458A" w14:textId="77D73373" w:rsidR="002D05D8" w:rsidRDefault="00DD24B0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Obilježavanje </w:t>
            </w:r>
            <w:r w:rsidR="00554403">
              <w:rPr>
                <w:rFonts w:cstheme="minorHAnsi"/>
                <w:sz w:val="20"/>
                <w:szCs w:val="20"/>
              </w:rPr>
              <w:t>S</w:t>
            </w:r>
            <w:r w:rsidR="001D6C18">
              <w:rPr>
                <w:rFonts w:cstheme="minorHAnsi"/>
                <w:sz w:val="20"/>
                <w:szCs w:val="20"/>
              </w:rPr>
              <w:t>vjetskog dana engleskog jezika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6900650B" w14:textId="0F09DA41" w:rsidR="002D05D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jezičke kompetencije i kompetencije višejezičnosti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6ABD91" w14:textId="77777777" w:rsidR="002D05D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engleskog jezika </w:t>
            </w:r>
          </w:p>
          <w:p w14:paraId="7DE973F7" w14:textId="77777777" w:rsidR="001D6C1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razredne nastave</w:t>
            </w:r>
          </w:p>
          <w:p w14:paraId="4F3153C0" w14:textId="4A353D24" w:rsidR="001D6C1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vaspitač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266D726" w14:textId="3E615B25" w:rsidR="002D05D8" w:rsidRDefault="00DD24B0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202</w:t>
            </w:r>
            <w:r w:rsidR="00E67C1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E58A3F3" w14:textId="66321007" w:rsidR="002D05D8" w:rsidRDefault="00D5298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Engleska kultura i književnost, školske manifestacije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9965E46" w14:textId="2CF32FB3" w:rsidR="002D05D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fotografije, učenički radovi</w:t>
            </w:r>
          </w:p>
        </w:tc>
      </w:tr>
      <w:tr w:rsidR="002D05D8" w:rsidRPr="00017BF0" w14:paraId="318DD754" w14:textId="77777777" w:rsidTr="0011548E">
        <w:tc>
          <w:tcPr>
            <w:tcW w:w="3507" w:type="dxa"/>
            <w:shd w:val="clear" w:color="auto" w:fill="auto"/>
            <w:vAlign w:val="center"/>
          </w:tcPr>
          <w:p w14:paraId="14E5EFCC" w14:textId="1A86C445" w:rsidR="002D05D8" w:rsidRDefault="001D6C18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Organizovanje čišćenja pri</w:t>
            </w:r>
            <w:r w:rsidR="007251CD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balnog područja u blizini škole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542D136A" w14:textId="5F0929FF" w:rsidR="002D05D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razvijanje građanske kompetencije i ekološke svijesti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04EAD16" w14:textId="727C3538" w:rsidR="002D05D8" w:rsidRDefault="00D5298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razredne starješine i učitelji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5530E31" w14:textId="17D27152" w:rsidR="002D05D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 202</w:t>
            </w:r>
            <w:r w:rsidR="007251C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E54488B" w14:textId="1534B40F" w:rsidR="002D05D8" w:rsidRDefault="00D5298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rukavice, pribor za sakupljanje, sortiranje i odlaganje otpada, </w:t>
            </w:r>
            <w:r w:rsidR="001D6C18">
              <w:rPr>
                <w:rFonts w:cstheme="minorHAnsi"/>
                <w:sz w:val="20"/>
                <w:szCs w:val="20"/>
              </w:rPr>
              <w:t>saradnja sa lokalnom zajednicom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26FAEB3" w14:textId="57F6B981" w:rsidR="002D05D8" w:rsidRDefault="001D6C1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fotografije</w:t>
            </w: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53"/>
    <w:rsid w:val="00004EA8"/>
    <w:rsid w:val="00017BF0"/>
    <w:rsid w:val="000204C0"/>
    <w:rsid w:val="00040BBD"/>
    <w:rsid w:val="00053DDA"/>
    <w:rsid w:val="000626CB"/>
    <w:rsid w:val="00097028"/>
    <w:rsid w:val="0009756C"/>
    <w:rsid w:val="001051B7"/>
    <w:rsid w:val="0011548E"/>
    <w:rsid w:val="00153DA1"/>
    <w:rsid w:val="001D6C18"/>
    <w:rsid w:val="001E1266"/>
    <w:rsid w:val="00221D35"/>
    <w:rsid w:val="00225C47"/>
    <w:rsid w:val="002D05D8"/>
    <w:rsid w:val="002D74FB"/>
    <w:rsid w:val="003075C8"/>
    <w:rsid w:val="00322B64"/>
    <w:rsid w:val="003326B7"/>
    <w:rsid w:val="003741FA"/>
    <w:rsid w:val="00376F91"/>
    <w:rsid w:val="004028DC"/>
    <w:rsid w:val="00420D46"/>
    <w:rsid w:val="0042311F"/>
    <w:rsid w:val="00452398"/>
    <w:rsid w:val="004670DB"/>
    <w:rsid w:val="00490561"/>
    <w:rsid w:val="00490B50"/>
    <w:rsid w:val="004B0E4C"/>
    <w:rsid w:val="00506A69"/>
    <w:rsid w:val="005516C2"/>
    <w:rsid w:val="00552841"/>
    <w:rsid w:val="00554403"/>
    <w:rsid w:val="00555B2F"/>
    <w:rsid w:val="005633AE"/>
    <w:rsid w:val="005874E3"/>
    <w:rsid w:val="00590DA7"/>
    <w:rsid w:val="006053D3"/>
    <w:rsid w:val="0060760D"/>
    <w:rsid w:val="00621574"/>
    <w:rsid w:val="00622D41"/>
    <w:rsid w:val="00635F0C"/>
    <w:rsid w:val="00636A44"/>
    <w:rsid w:val="006451D9"/>
    <w:rsid w:val="0065703E"/>
    <w:rsid w:val="006572DF"/>
    <w:rsid w:val="00691350"/>
    <w:rsid w:val="0070551D"/>
    <w:rsid w:val="00714DF5"/>
    <w:rsid w:val="007251CD"/>
    <w:rsid w:val="00786C0B"/>
    <w:rsid w:val="007A13F5"/>
    <w:rsid w:val="007B1908"/>
    <w:rsid w:val="007D5AC9"/>
    <w:rsid w:val="007E5629"/>
    <w:rsid w:val="007F46D0"/>
    <w:rsid w:val="00875563"/>
    <w:rsid w:val="008A64A6"/>
    <w:rsid w:val="008B1478"/>
    <w:rsid w:val="008D2EB8"/>
    <w:rsid w:val="009004E4"/>
    <w:rsid w:val="0090404B"/>
    <w:rsid w:val="00932B37"/>
    <w:rsid w:val="009513E9"/>
    <w:rsid w:val="009A7EE7"/>
    <w:rsid w:val="009D359A"/>
    <w:rsid w:val="009F1121"/>
    <w:rsid w:val="00A1351B"/>
    <w:rsid w:val="00A73899"/>
    <w:rsid w:val="00A77965"/>
    <w:rsid w:val="00AD4A47"/>
    <w:rsid w:val="00AE47F8"/>
    <w:rsid w:val="00B02E0A"/>
    <w:rsid w:val="00B2140D"/>
    <w:rsid w:val="00B5040D"/>
    <w:rsid w:val="00B77653"/>
    <w:rsid w:val="00B86FEC"/>
    <w:rsid w:val="00B96E7A"/>
    <w:rsid w:val="00BD0A80"/>
    <w:rsid w:val="00BE3139"/>
    <w:rsid w:val="00BF02C2"/>
    <w:rsid w:val="00C17655"/>
    <w:rsid w:val="00C344DB"/>
    <w:rsid w:val="00C544F2"/>
    <w:rsid w:val="00C74B61"/>
    <w:rsid w:val="00C83F6A"/>
    <w:rsid w:val="00D35153"/>
    <w:rsid w:val="00D5298E"/>
    <w:rsid w:val="00D76CCE"/>
    <w:rsid w:val="00D83FFC"/>
    <w:rsid w:val="00DD24B0"/>
    <w:rsid w:val="00DF4631"/>
    <w:rsid w:val="00DF6D3E"/>
    <w:rsid w:val="00E30D7A"/>
    <w:rsid w:val="00E67C19"/>
    <w:rsid w:val="00E81700"/>
    <w:rsid w:val="00EA7F51"/>
    <w:rsid w:val="00F11B58"/>
    <w:rsid w:val="00F17E5D"/>
    <w:rsid w:val="00FA7589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FFA"/>
  <w15:docId w15:val="{FC98E786-5150-BB4A-B6A3-6463A712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x</cp:lastModifiedBy>
  <cp:revision>3</cp:revision>
  <cp:lastPrinted>2020-10-16T23:44:00Z</cp:lastPrinted>
  <dcterms:created xsi:type="dcterms:W3CDTF">2020-10-17T15:08:00Z</dcterms:created>
  <dcterms:modified xsi:type="dcterms:W3CDTF">2020-10-17T15:49:00Z</dcterms:modified>
</cp:coreProperties>
</file>