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6392BF" w14:textId="77777777" w:rsidR="007A1183" w:rsidRPr="00E80F96" w:rsidRDefault="007A1183" w:rsidP="007A1183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  <w:highlight w:val="yellow"/>
        </w:rPr>
        <w:t>E.</w:t>
      </w:r>
      <w:r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 xml:space="preserve"> </w:t>
      </w:r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Podupiranje razvoja ključnih kompetencija</w:t>
      </w:r>
    </w:p>
    <w:p w14:paraId="4C015691" w14:textId="77777777" w:rsidR="007A1183" w:rsidRPr="00E80F96" w:rsidRDefault="007A1183" w:rsidP="007A1183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Ključne su kompetencije dinamična kombinacija znanja, vještina i stavova koje učenik treba razvijati tijekom cijelog života, počevši od rane dobi nadalje. Visokokvalitetnim i uključivim obrazovanjem, osposobljavanjem i cjeloživotnim učenjem omogućuje se da svi razvijaju ključne kompetencije. Stoga se pristupi usmjereni na kompetencije mogu primjenjivati u svim obrazovnim okruženjima te okruženjima osposobljavanja i učenja tijekom cijelog života.</w:t>
      </w:r>
    </w:p>
    <w:p w14:paraId="6A62E6D1" w14:textId="77777777" w:rsidR="007A1183" w:rsidRPr="00E80F96" w:rsidRDefault="007A1183" w:rsidP="007A1183">
      <w:pPr>
        <w:spacing w:before="1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80F96">
        <w:rPr>
          <w:rFonts w:ascii="Times New Roman" w:eastAsia="Times New Roman" w:hAnsi="Times New Roman" w:cs="Times New Roman"/>
          <w:color w:val="000000"/>
          <w:sz w:val="22"/>
          <w:szCs w:val="22"/>
        </w:rPr>
        <w:t>U cilju potpore obrazovanju, osposobljavanju i učenju usmjerenima na kompetencije u kontekstu cjeloživotnog učenja utvrđena su tri izazova: primjena različitih pristupa i konteksta učenja, potpora učitelja i nastavnika i drugog nastavnog osoblja te ocjenjivanje i vrednovanje razvoja kompetencija. Kao odgovor na te izazove mogu se izdvojiti određeni primjeri dobrih praksi.</w:t>
      </w:r>
    </w:p>
    <w:p w14:paraId="6F3DE093" w14:textId="77777777" w:rsidR="007A1183" w:rsidRPr="00E80F96" w:rsidRDefault="007A1183" w:rsidP="007A1183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a)   </w:t>
      </w:r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Različiti pristupi učenju i okružja učenja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"/>
        <w:gridCol w:w="8901"/>
      </w:tblGrid>
      <w:tr w:rsidR="007A1183" w:rsidRPr="00E80F96" w14:paraId="34794576" w14:textId="77777777" w:rsidTr="006A076B">
        <w:tc>
          <w:tcPr>
            <w:tcW w:w="0" w:type="auto"/>
            <w:shd w:val="clear" w:color="auto" w:fill="auto"/>
            <w:hideMark/>
          </w:tcPr>
          <w:p w14:paraId="33DD62E3" w14:textId="77777777" w:rsidR="007A1183" w:rsidRPr="00E80F96" w:rsidRDefault="007A1183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a)</w:t>
            </w:r>
          </w:p>
        </w:tc>
        <w:tc>
          <w:tcPr>
            <w:tcW w:w="0" w:type="auto"/>
            <w:shd w:val="clear" w:color="auto" w:fill="auto"/>
            <w:hideMark/>
          </w:tcPr>
          <w:p w14:paraId="4F275F21" w14:textId="77777777" w:rsidR="007A1183" w:rsidRPr="00E80F96" w:rsidRDefault="007A1183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Interdisciplinarno učenje, partnerstva između različitih obrazovnih razina, sudionici u osposobljavanju i učenju, uključujući sudionike s tržišta rada, ali i koncepti kao što su sveobuhvatni pristupi školovanju s naglaskom na suradničkom poučavanju i učenju te aktivno sudjelovanje i odlučivanje učenika mogu obogatiti učenje. Interdisciplinarnim učenjem omogućuje se i jačanje povezivosti između različitih predmeta u kurikulumu, kao i uspostava čvrste veze između onoga što se uči i društvenih promjena i značaja. Međusektorska suradnja ustanova za obrazovanje i osposobljavanje i vanjskih aktera iz poslovnog svijeta, umjetnosti, sporta i zajednice mladih, ustanova visokog obrazovanja ili znanstvenih ustanova mogu biti ključni za uspješno razvijanje kompetencija.</w:t>
            </w:r>
          </w:p>
        </w:tc>
      </w:tr>
    </w:tbl>
    <w:p w14:paraId="2B6A9CDB" w14:textId="77777777" w:rsidR="007A1183" w:rsidRPr="00E80F96" w:rsidRDefault="007A1183" w:rsidP="007A1183">
      <w:pPr>
        <w:rPr>
          <w:rFonts w:ascii="Times New Roman" w:eastAsia="Times New Roman" w:hAnsi="Times New Roman" w:cs="Times New Roman"/>
          <w:vanish/>
          <w:color w:val="00000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  <w:gridCol w:w="8888"/>
      </w:tblGrid>
      <w:tr w:rsidR="007A1183" w:rsidRPr="00E80F96" w14:paraId="2E0BCCA7" w14:textId="77777777" w:rsidTr="006A076B">
        <w:tc>
          <w:tcPr>
            <w:tcW w:w="0" w:type="auto"/>
            <w:shd w:val="clear" w:color="auto" w:fill="auto"/>
            <w:hideMark/>
          </w:tcPr>
          <w:p w14:paraId="341040FF" w14:textId="77777777" w:rsidR="007A1183" w:rsidRPr="00E80F96" w:rsidRDefault="007A1183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b)</w:t>
            </w:r>
          </w:p>
        </w:tc>
        <w:tc>
          <w:tcPr>
            <w:tcW w:w="0" w:type="auto"/>
            <w:shd w:val="clear" w:color="auto" w:fill="auto"/>
            <w:hideMark/>
          </w:tcPr>
          <w:p w14:paraId="6E9A3C64" w14:textId="77777777" w:rsidR="007A1183" w:rsidRPr="00E80F96" w:rsidRDefault="007A1183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Stjecanje osnovnih vještina kao i razvoj širih kompetencija mogu se olakšati sustavnim nadopunjavanjem akademskog učenja socijalnim i emocionalnim učenjem, umjetnošću, fizičkim aktivnostima kojima se poboljšava zdravlje i podupiru fizički aktivni načini života u kojima se vodi računa o zdravlju i koji su usmjereni na budućnost. Jačanje osobne i socijalne kompetencije te kompetencije učenja od rane dobi može biti temelj za razvoj osnovnih vještina.</w:t>
            </w:r>
          </w:p>
        </w:tc>
      </w:tr>
    </w:tbl>
    <w:p w14:paraId="15B6F41E" w14:textId="77777777" w:rsidR="007A1183" w:rsidRPr="00E80F96" w:rsidRDefault="007A1183" w:rsidP="007A1183">
      <w:pPr>
        <w:rPr>
          <w:rFonts w:ascii="Times New Roman" w:eastAsia="Times New Roman" w:hAnsi="Times New Roman" w:cs="Times New Roman"/>
          <w:vanish/>
          <w:color w:val="00000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"/>
        <w:gridCol w:w="8901"/>
      </w:tblGrid>
      <w:tr w:rsidR="007A1183" w:rsidRPr="00E80F96" w14:paraId="7DC8A36D" w14:textId="77777777" w:rsidTr="006A076B">
        <w:tc>
          <w:tcPr>
            <w:tcW w:w="0" w:type="auto"/>
            <w:shd w:val="clear" w:color="auto" w:fill="auto"/>
            <w:hideMark/>
          </w:tcPr>
          <w:p w14:paraId="26BFE763" w14:textId="77777777" w:rsidR="007A1183" w:rsidRPr="00E80F96" w:rsidRDefault="007A1183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c)</w:t>
            </w:r>
          </w:p>
        </w:tc>
        <w:tc>
          <w:tcPr>
            <w:tcW w:w="0" w:type="auto"/>
            <w:shd w:val="clear" w:color="auto" w:fill="auto"/>
            <w:hideMark/>
          </w:tcPr>
          <w:p w14:paraId="2B1C7531" w14:textId="77777777" w:rsidR="007A1183" w:rsidRPr="00E80F96" w:rsidRDefault="007A1183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Metodologije učenja kao što je učenje temeljeno na istraživanjima i projektima, kombinirano učenje ili učenje temeljeno na umjetnosti ili igrama mogu povećati motivaciju i angažman. Isto tako, eksperimentalno učenje, učenje na radnom mjestu i znanstvene metode u prirodoslovlju, tehnologiji, inženjerstvu i matematici (STEM) mogu poticati razvoj različitih kompetencija.</w:t>
            </w:r>
          </w:p>
        </w:tc>
      </w:tr>
    </w:tbl>
    <w:p w14:paraId="15328982" w14:textId="77777777" w:rsidR="007A1183" w:rsidRPr="00E80F96" w:rsidRDefault="007A1183" w:rsidP="007A1183">
      <w:pPr>
        <w:rPr>
          <w:rFonts w:ascii="Times New Roman" w:eastAsia="Times New Roman" w:hAnsi="Times New Roman" w:cs="Times New Roman"/>
          <w:vanish/>
          <w:color w:val="00000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  <w:gridCol w:w="8888"/>
      </w:tblGrid>
      <w:tr w:rsidR="007A1183" w:rsidRPr="00E80F96" w14:paraId="4449C493" w14:textId="77777777" w:rsidTr="006A076B">
        <w:tc>
          <w:tcPr>
            <w:tcW w:w="0" w:type="auto"/>
            <w:shd w:val="clear" w:color="auto" w:fill="auto"/>
            <w:hideMark/>
          </w:tcPr>
          <w:p w14:paraId="4ED1EBE9" w14:textId="77777777" w:rsidR="007A1183" w:rsidRPr="00E80F96" w:rsidRDefault="007A1183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d)</w:t>
            </w:r>
          </w:p>
        </w:tc>
        <w:tc>
          <w:tcPr>
            <w:tcW w:w="0" w:type="auto"/>
            <w:shd w:val="clear" w:color="auto" w:fill="auto"/>
            <w:hideMark/>
          </w:tcPr>
          <w:p w14:paraId="66541F83" w14:textId="77777777" w:rsidR="007A1183" w:rsidRPr="00E80F96" w:rsidRDefault="007A1183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Učenici, nastavno osoblje i pružatelji obrazovnih usluga mogu se poticati na primjenu digitalnih tehnologija kako bi unaprijedili učenje i poduprli razvoj digitalnih kompetencija. Na primjer, sudjelovanjem u inicijativama Unije kao što je „Europski tjedan programiranja”. Upotrebom alata za samoprocjenu, kao što je alat SELFIE, mogle bi se poboljšati digitalne sposobnosti pružatelja usluga obrazovanja, osposobljavanja i učenja.</w:t>
            </w:r>
          </w:p>
        </w:tc>
      </w:tr>
    </w:tbl>
    <w:p w14:paraId="5D070907" w14:textId="77777777" w:rsidR="007A1183" w:rsidRPr="00E80F96" w:rsidRDefault="007A1183" w:rsidP="007A1183">
      <w:pPr>
        <w:rPr>
          <w:rFonts w:ascii="Times New Roman" w:eastAsia="Times New Roman" w:hAnsi="Times New Roman" w:cs="Times New Roman"/>
          <w:vanish/>
          <w:color w:val="00000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"/>
        <w:gridCol w:w="8901"/>
      </w:tblGrid>
      <w:tr w:rsidR="007A1183" w:rsidRPr="00E80F96" w14:paraId="006C04EA" w14:textId="77777777" w:rsidTr="006A076B">
        <w:tc>
          <w:tcPr>
            <w:tcW w:w="0" w:type="auto"/>
            <w:shd w:val="clear" w:color="auto" w:fill="auto"/>
            <w:hideMark/>
          </w:tcPr>
          <w:p w14:paraId="71F23246" w14:textId="77777777" w:rsidR="007A1183" w:rsidRPr="00E80F96" w:rsidRDefault="007A1183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e)</w:t>
            </w:r>
          </w:p>
        </w:tc>
        <w:tc>
          <w:tcPr>
            <w:tcW w:w="0" w:type="auto"/>
            <w:shd w:val="clear" w:color="auto" w:fill="auto"/>
            <w:hideMark/>
          </w:tcPr>
          <w:p w14:paraId="737F945F" w14:textId="77777777" w:rsidR="007A1183" w:rsidRPr="00E80F96" w:rsidRDefault="007A1183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Posebne mogućnosti za poduzetnička iskustva, osposobljavanja za samostalan rad u poduzećima ili poduzetnici koji posjećuju ustanove za obrazovanje ili osposobljavanje, uključujući praktična poduzetnička iskustva poput kreativnih izazova, novoosnovanih poduzeća, studentskih inicijativa u zajednicama, simulacija poduzeća ili poduzetničko učenje na temelju projekata, mogli bi biti posebno korisni za mlade, ali i za odrasle i za učitelje i nastavnike. Mladima bi se omogućilo barem jedno poduzetničko iskustvo tijekom njihova školskog obrazovanja. Partnerstva škola, zajednica i poduzeća te platforme na lokalnoj razini, posebice u ruralnim područjima, mogu biti ključni čimbenici u širenju poduzetničkog obrazovanja. Odgovarajuće stručno usavršavanje učitelja, nastavnika i ravnatelja te potpora učitelja, nastavnika i ravnatelja mogu biti ključni za održavanje stalnog napretka i postizanje vodstva.</w:t>
            </w:r>
          </w:p>
        </w:tc>
      </w:tr>
    </w:tbl>
    <w:p w14:paraId="4B0536FC" w14:textId="77777777" w:rsidR="007A1183" w:rsidRPr="00E80F96" w:rsidRDefault="007A1183" w:rsidP="007A1183">
      <w:pPr>
        <w:rPr>
          <w:rFonts w:ascii="Times New Roman" w:eastAsia="Times New Roman" w:hAnsi="Times New Roman" w:cs="Times New Roman"/>
          <w:vanish/>
          <w:color w:val="00000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"/>
        <w:gridCol w:w="8925"/>
      </w:tblGrid>
      <w:tr w:rsidR="007A1183" w:rsidRPr="00E80F96" w14:paraId="7F5DBE2D" w14:textId="77777777" w:rsidTr="006A076B">
        <w:tc>
          <w:tcPr>
            <w:tcW w:w="0" w:type="auto"/>
            <w:shd w:val="clear" w:color="auto" w:fill="auto"/>
            <w:hideMark/>
          </w:tcPr>
          <w:p w14:paraId="221B414F" w14:textId="77777777" w:rsidR="007A1183" w:rsidRPr="00E80F96" w:rsidRDefault="007A1183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f)</w:t>
            </w:r>
          </w:p>
        </w:tc>
        <w:tc>
          <w:tcPr>
            <w:tcW w:w="0" w:type="auto"/>
            <w:shd w:val="clear" w:color="auto" w:fill="auto"/>
            <w:hideMark/>
          </w:tcPr>
          <w:p w14:paraId="0AA537E3" w14:textId="77777777" w:rsidR="007A1183" w:rsidRPr="00E80F96" w:rsidRDefault="007A1183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Višejezična kompetencija može se razviti uskom suradnjom obrazovnih okruženja te okruženja osposobljavanja i učenja u inozemstvu, mobilnošću nastavnog osoblja i učenika te upotrebom mreže eTwinning, platforme EPALE i sličnih internetskih portala.</w:t>
            </w:r>
          </w:p>
        </w:tc>
      </w:tr>
    </w:tbl>
    <w:p w14:paraId="4A55C5D3" w14:textId="77777777" w:rsidR="007A1183" w:rsidRPr="00E80F96" w:rsidRDefault="007A1183" w:rsidP="007A1183">
      <w:pPr>
        <w:rPr>
          <w:rFonts w:ascii="Times New Roman" w:eastAsia="Times New Roman" w:hAnsi="Times New Roman" w:cs="Times New Roman"/>
          <w:vanish/>
          <w:color w:val="00000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  <w:gridCol w:w="8888"/>
      </w:tblGrid>
      <w:tr w:rsidR="007A1183" w:rsidRPr="00E80F96" w14:paraId="1FB08DCE" w14:textId="77777777" w:rsidTr="006A076B">
        <w:tc>
          <w:tcPr>
            <w:tcW w:w="0" w:type="auto"/>
            <w:shd w:val="clear" w:color="auto" w:fill="auto"/>
            <w:hideMark/>
          </w:tcPr>
          <w:p w14:paraId="579304B2" w14:textId="77777777" w:rsidR="007A1183" w:rsidRPr="00E80F96" w:rsidRDefault="007A1183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g)</w:t>
            </w:r>
          </w:p>
        </w:tc>
        <w:tc>
          <w:tcPr>
            <w:tcW w:w="0" w:type="auto"/>
            <w:shd w:val="clear" w:color="auto" w:fill="auto"/>
            <w:hideMark/>
          </w:tcPr>
          <w:p w14:paraId="3E2800B9" w14:textId="77777777" w:rsidR="007A1183" w:rsidRPr="00E80F96" w:rsidRDefault="007A1183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Svi učenici, uključujući one koje se suočavaju s poteškoćama ili imaju posebne potrebe, mogli bi dobiti odgovarajući potporu u uključivim okruženjima kako bi ostvarili svoje obrazovne potencijale. </w:t>
            </w:r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lastRenderedPageBreak/>
              <w:t>Takva potpora mogla bi se sastojati od jezične, akademske ili socioemocionalne potpore, uzajamnog poučavanja, izvannastavnih aktivnosti, profesionalnog usmjeravanja ili materijalne potpore.</w:t>
            </w:r>
          </w:p>
        </w:tc>
      </w:tr>
    </w:tbl>
    <w:p w14:paraId="533CCE15" w14:textId="77777777" w:rsidR="007A1183" w:rsidRPr="00E80F96" w:rsidRDefault="007A1183" w:rsidP="007A1183">
      <w:pPr>
        <w:rPr>
          <w:rFonts w:ascii="Times New Roman" w:eastAsia="Times New Roman" w:hAnsi="Times New Roman" w:cs="Times New Roman"/>
          <w:vanish/>
          <w:color w:val="00000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  <w:gridCol w:w="8888"/>
      </w:tblGrid>
      <w:tr w:rsidR="007A1183" w:rsidRPr="00E80F96" w14:paraId="422B4BAA" w14:textId="77777777" w:rsidTr="006A076B">
        <w:tc>
          <w:tcPr>
            <w:tcW w:w="0" w:type="auto"/>
            <w:shd w:val="clear" w:color="auto" w:fill="auto"/>
            <w:hideMark/>
          </w:tcPr>
          <w:p w14:paraId="5EBAE8F3" w14:textId="77777777" w:rsidR="007A1183" w:rsidRPr="00E80F96" w:rsidRDefault="007A1183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h)</w:t>
            </w:r>
          </w:p>
        </w:tc>
        <w:tc>
          <w:tcPr>
            <w:tcW w:w="0" w:type="auto"/>
            <w:shd w:val="clear" w:color="auto" w:fill="auto"/>
            <w:hideMark/>
          </w:tcPr>
          <w:p w14:paraId="43878CA4" w14:textId="77777777" w:rsidR="007A1183" w:rsidRPr="00E80F96" w:rsidRDefault="007A1183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Suradnja obrazovnih okruženja te okruženja osposobljavanja i učenja na svim razinama može biti ključna za poboljšanje kontinuiteta razvoja kompetencija učenika tijekom cijelog života i za razvoj inovativnih pristupa učenju.</w:t>
            </w:r>
          </w:p>
        </w:tc>
      </w:tr>
    </w:tbl>
    <w:p w14:paraId="12029BAB" w14:textId="77777777" w:rsidR="007A1183" w:rsidRPr="00E80F96" w:rsidRDefault="007A1183" w:rsidP="007A1183">
      <w:pPr>
        <w:rPr>
          <w:rFonts w:ascii="Times New Roman" w:eastAsia="Times New Roman" w:hAnsi="Times New Roman" w:cs="Times New Roman"/>
          <w:vanish/>
          <w:color w:val="00000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"/>
        <w:gridCol w:w="8937"/>
      </w:tblGrid>
      <w:tr w:rsidR="007A1183" w:rsidRPr="00E80F96" w14:paraId="41EE8920" w14:textId="77777777" w:rsidTr="006A076B">
        <w:tc>
          <w:tcPr>
            <w:tcW w:w="0" w:type="auto"/>
            <w:shd w:val="clear" w:color="auto" w:fill="auto"/>
            <w:hideMark/>
          </w:tcPr>
          <w:p w14:paraId="091A999C" w14:textId="77777777" w:rsidR="007A1183" w:rsidRPr="00E80F96" w:rsidRDefault="007A1183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i)</w:t>
            </w:r>
          </w:p>
        </w:tc>
        <w:tc>
          <w:tcPr>
            <w:tcW w:w="0" w:type="auto"/>
            <w:shd w:val="clear" w:color="auto" w:fill="auto"/>
            <w:hideMark/>
          </w:tcPr>
          <w:p w14:paraId="5C83A8C6" w14:textId="77777777" w:rsidR="007A1183" w:rsidRPr="00E80F96" w:rsidRDefault="007A1183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Suradnjom između partnerskih ustanova za obrazovanje i osposobljavanje te partnera izvan odgojno-obrazovnog sustava u lokalnim zajednicama i poslodavaca u kombinaciji s formalnim, neformalnim i informalnim učenjem može se poduprijeti razvoj kompetencija i olakšati prijelaz iz obrazovanog sustava na posao, kao i s posla u obrazovni sustav.</w:t>
            </w:r>
          </w:p>
        </w:tc>
      </w:tr>
    </w:tbl>
    <w:p w14:paraId="770F5841" w14:textId="77777777" w:rsidR="007A1183" w:rsidRPr="00E80F96" w:rsidRDefault="007A1183" w:rsidP="007A1183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b)   </w:t>
      </w:r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Potpora nastavnom osoblju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"/>
        <w:gridCol w:w="8901"/>
      </w:tblGrid>
      <w:tr w:rsidR="007A1183" w:rsidRPr="00E80F96" w14:paraId="674F0685" w14:textId="77777777" w:rsidTr="006A076B">
        <w:tc>
          <w:tcPr>
            <w:tcW w:w="0" w:type="auto"/>
            <w:shd w:val="clear" w:color="auto" w:fill="auto"/>
            <w:hideMark/>
          </w:tcPr>
          <w:p w14:paraId="22B9A855" w14:textId="77777777" w:rsidR="007A1183" w:rsidRPr="00E80F96" w:rsidRDefault="007A1183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a)</w:t>
            </w:r>
          </w:p>
        </w:tc>
        <w:tc>
          <w:tcPr>
            <w:tcW w:w="0" w:type="auto"/>
            <w:shd w:val="clear" w:color="auto" w:fill="auto"/>
            <w:hideMark/>
          </w:tcPr>
          <w:p w14:paraId="477B7BF3" w14:textId="77777777" w:rsidR="007A1183" w:rsidRPr="00E80F96" w:rsidRDefault="007A1183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Pristupi obrazovanju, osposobljavanju i učenju koji su usmjereni na kompetencije i koji se ugrađuju u početno obrazovanje i kontinuirani profesionalni razvoj mogu pomoći nastavnom osoblju da promijeni poučavanje i učenje u svojim okruženjima i da bude kompetentno u provedbi pristupa.</w:t>
            </w:r>
          </w:p>
        </w:tc>
      </w:tr>
    </w:tbl>
    <w:p w14:paraId="5DBA1613" w14:textId="77777777" w:rsidR="007A1183" w:rsidRPr="00E80F96" w:rsidRDefault="007A1183" w:rsidP="007A1183">
      <w:pPr>
        <w:rPr>
          <w:rFonts w:ascii="Times New Roman" w:eastAsia="Times New Roman" w:hAnsi="Times New Roman" w:cs="Times New Roman"/>
          <w:vanish/>
          <w:color w:val="00000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  <w:gridCol w:w="8888"/>
      </w:tblGrid>
      <w:tr w:rsidR="007A1183" w:rsidRPr="00E80F96" w14:paraId="3313C0C3" w14:textId="77777777" w:rsidTr="006A076B">
        <w:tc>
          <w:tcPr>
            <w:tcW w:w="0" w:type="auto"/>
            <w:shd w:val="clear" w:color="auto" w:fill="auto"/>
            <w:hideMark/>
          </w:tcPr>
          <w:p w14:paraId="46EDB71C" w14:textId="77777777" w:rsidR="007A1183" w:rsidRPr="00E80F96" w:rsidRDefault="007A1183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b)</w:t>
            </w:r>
          </w:p>
        </w:tc>
        <w:tc>
          <w:tcPr>
            <w:tcW w:w="0" w:type="auto"/>
            <w:shd w:val="clear" w:color="auto" w:fill="auto"/>
            <w:hideMark/>
          </w:tcPr>
          <w:p w14:paraId="28968FB4" w14:textId="77777777" w:rsidR="007A1183" w:rsidRPr="00E80F96" w:rsidRDefault="007A1183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Nastavno osoblje može se podupirati da u svojim specifičnim kontekstima putem razmjene osoblja i uzajamnog učenja i uzajamnog savjetovanja razvija pristupe usmjerene na kompetencije čime bi se omogućile fleksibilnost i autonomija u organiziranju učenja putem mreža, suradnje i zajednica prakse.</w:t>
            </w:r>
          </w:p>
        </w:tc>
      </w:tr>
    </w:tbl>
    <w:p w14:paraId="17D6C08D" w14:textId="77777777" w:rsidR="007A1183" w:rsidRPr="00E80F96" w:rsidRDefault="007A1183" w:rsidP="007A1183">
      <w:pPr>
        <w:rPr>
          <w:rFonts w:ascii="Times New Roman" w:eastAsia="Times New Roman" w:hAnsi="Times New Roman" w:cs="Times New Roman"/>
          <w:vanish/>
          <w:color w:val="00000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"/>
        <w:gridCol w:w="8901"/>
      </w:tblGrid>
      <w:tr w:rsidR="007A1183" w:rsidRPr="00E80F96" w14:paraId="513D77EE" w14:textId="77777777" w:rsidTr="006A076B">
        <w:tc>
          <w:tcPr>
            <w:tcW w:w="0" w:type="auto"/>
            <w:shd w:val="clear" w:color="auto" w:fill="auto"/>
            <w:hideMark/>
          </w:tcPr>
          <w:p w14:paraId="24A58E2E" w14:textId="77777777" w:rsidR="007A1183" w:rsidRPr="00E80F96" w:rsidRDefault="007A1183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c)</w:t>
            </w:r>
          </w:p>
        </w:tc>
        <w:tc>
          <w:tcPr>
            <w:tcW w:w="0" w:type="auto"/>
            <w:shd w:val="clear" w:color="auto" w:fill="auto"/>
            <w:hideMark/>
          </w:tcPr>
          <w:p w14:paraId="7E4C53F2" w14:textId="77777777" w:rsidR="007A1183" w:rsidRPr="00E80F96" w:rsidRDefault="007A1183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Nastavnom osoblju moglo bi se pomoći u stvaranju inovativnih praksi, sudjelovanju u istraživanju i prikladnoj upotrebi novih tehnologija, uključujući digitalne tehnologije, za pristupe u nastavi i učenju usmjerene na kompetencije.</w:t>
            </w:r>
          </w:p>
        </w:tc>
      </w:tr>
    </w:tbl>
    <w:p w14:paraId="3E2EB99B" w14:textId="77777777" w:rsidR="007A1183" w:rsidRPr="00E80F96" w:rsidRDefault="007A1183" w:rsidP="007A1183">
      <w:pPr>
        <w:rPr>
          <w:rFonts w:ascii="Times New Roman" w:eastAsia="Times New Roman" w:hAnsi="Times New Roman" w:cs="Times New Roman"/>
          <w:vanish/>
          <w:color w:val="00000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  <w:gridCol w:w="8888"/>
      </w:tblGrid>
      <w:tr w:rsidR="007A1183" w:rsidRPr="00E80F96" w14:paraId="605A50B1" w14:textId="77777777" w:rsidTr="006A076B">
        <w:tc>
          <w:tcPr>
            <w:tcW w:w="0" w:type="auto"/>
            <w:shd w:val="clear" w:color="auto" w:fill="auto"/>
            <w:hideMark/>
          </w:tcPr>
          <w:p w14:paraId="2193487A" w14:textId="77777777" w:rsidR="007A1183" w:rsidRPr="00E80F96" w:rsidRDefault="007A1183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d)</w:t>
            </w:r>
          </w:p>
        </w:tc>
        <w:tc>
          <w:tcPr>
            <w:tcW w:w="0" w:type="auto"/>
            <w:shd w:val="clear" w:color="auto" w:fill="auto"/>
            <w:hideMark/>
          </w:tcPr>
          <w:p w14:paraId="2A5029A4" w14:textId="77777777" w:rsidR="007A1183" w:rsidRPr="00E80F96" w:rsidRDefault="007A1183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Nastavnom osoblju mogu se dati smjernice, pristup centrima stručnosti, odgovarajućim alatima i materijalima koji mogu poboljšati kvalitetu metoda i praksa poučavanja i učenja.</w:t>
            </w:r>
          </w:p>
        </w:tc>
      </w:tr>
    </w:tbl>
    <w:p w14:paraId="03D68785" w14:textId="77777777" w:rsidR="007A1183" w:rsidRPr="00E80F96" w:rsidRDefault="007A1183" w:rsidP="007A1183">
      <w:pPr>
        <w:spacing w:before="240" w:after="120"/>
        <w:jc w:val="both"/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</w:pPr>
      <w:r w:rsidRPr="00E80F96">
        <w:rPr>
          <w:rFonts w:ascii="Times New Roman" w:eastAsia="Times New Roman" w:hAnsi="Times New Roman" w:cs="Times New Roman"/>
          <w:b/>
          <w:bCs/>
          <w:color w:val="000000"/>
          <w:sz w:val="22"/>
          <w:szCs w:val="22"/>
        </w:rPr>
        <w:t>c)   </w:t>
      </w:r>
      <w:r w:rsidRPr="00E80F96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</w:rPr>
        <w:t>Procjena i vrednovanje razvoja kompetencija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"/>
        <w:gridCol w:w="8901"/>
      </w:tblGrid>
      <w:tr w:rsidR="007A1183" w:rsidRPr="00E80F96" w14:paraId="13A74B92" w14:textId="77777777" w:rsidTr="006A076B">
        <w:tc>
          <w:tcPr>
            <w:tcW w:w="0" w:type="auto"/>
            <w:shd w:val="clear" w:color="auto" w:fill="auto"/>
            <w:hideMark/>
          </w:tcPr>
          <w:p w14:paraId="5819BE66" w14:textId="77777777" w:rsidR="007A1183" w:rsidRPr="00E80F96" w:rsidRDefault="007A1183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a)</w:t>
            </w:r>
          </w:p>
        </w:tc>
        <w:tc>
          <w:tcPr>
            <w:tcW w:w="0" w:type="auto"/>
            <w:shd w:val="clear" w:color="auto" w:fill="auto"/>
            <w:hideMark/>
          </w:tcPr>
          <w:p w14:paraId="6EAA3B06" w14:textId="77777777" w:rsidR="007A1183" w:rsidRPr="00E80F96" w:rsidRDefault="007A1183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Opisi ključnih kompetencija mogu se prenijeti u okvire ishoda učenja koji bi se mogli dopuniti odgovarajućim alatima za dijagnostičku formativnu i sumativnu procjenu i vrednovanje na odgovarajućim razinama </w:t>
            </w:r>
            <w:hyperlink r:id="rId4" w:anchor="ntr3-C_2018189HR.01000701-E0003" w:history="1">
              <w:r w:rsidRPr="00E80F96">
                <w:rPr>
                  <w:rFonts w:ascii="Times New Roman" w:eastAsia="Times New Roman" w:hAnsi="Times New Roman" w:cs="Times New Roman"/>
                  <w:color w:val="3366CC"/>
                  <w:sz w:val="22"/>
                  <w:szCs w:val="22"/>
                </w:rPr>
                <w:t>(</w:t>
              </w:r>
              <w:r w:rsidRPr="00E80F96">
                <w:rPr>
                  <w:rFonts w:ascii="Times New Roman" w:eastAsia="Times New Roman" w:hAnsi="Times New Roman" w:cs="Times New Roman"/>
                  <w:color w:val="3366CC"/>
                  <w:sz w:val="22"/>
                  <w:szCs w:val="22"/>
                  <w:vertAlign w:val="superscript"/>
                </w:rPr>
                <w:t>3</w:t>
              </w:r>
              <w:r w:rsidRPr="00E80F96">
                <w:rPr>
                  <w:rFonts w:ascii="Times New Roman" w:eastAsia="Times New Roman" w:hAnsi="Times New Roman" w:cs="Times New Roman"/>
                  <w:color w:val="3366CC"/>
                  <w:sz w:val="22"/>
                  <w:szCs w:val="22"/>
                </w:rPr>
                <w:t>)</w:t>
              </w:r>
            </w:hyperlink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.</w:t>
            </w:r>
          </w:p>
        </w:tc>
      </w:tr>
    </w:tbl>
    <w:p w14:paraId="140AD338" w14:textId="77777777" w:rsidR="007A1183" w:rsidRPr="00E80F96" w:rsidRDefault="007A1183" w:rsidP="007A1183">
      <w:pPr>
        <w:rPr>
          <w:rFonts w:ascii="Times New Roman" w:eastAsia="Times New Roman" w:hAnsi="Times New Roman" w:cs="Times New Roman"/>
          <w:vanish/>
          <w:color w:val="00000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  <w:gridCol w:w="8888"/>
      </w:tblGrid>
      <w:tr w:rsidR="007A1183" w:rsidRPr="00E80F96" w14:paraId="283D3C72" w14:textId="77777777" w:rsidTr="006A076B">
        <w:tc>
          <w:tcPr>
            <w:tcW w:w="0" w:type="auto"/>
            <w:shd w:val="clear" w:color="auto" w:fill="auto"/>
            <w:hideMark/>
          </w:tcPr>
          <w:p w14:paraId="7E55C124" w14:textId="77777777" w:rsidR="007A1183" w:rsidRPr="00E80F96" w:rsidRDefault="007A1183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b)</w:t>
            </w:r>
          </w:p>
        </w:tc>
        <w:tc>
          <w:tcPr>
            <w:tcW w:w="0" w:type="auto"/>
            <w:shd w:val="clear" w:color="auto" w:fill="auto"/>
            <w:hideMark/>
          </w:tcPr>
          <w:p w14:paraId="3ADF6BF4" w14:textId="77777777" w:rsidR="007A1183" w:rsidRPr="00E80F96" w:rsidRDefault="007A1183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Digitalnim tehnologijama moglo bi se osobito doprinijeti evidentiranju različitih dimenzija napretka učenika, uključujući poduzetničko učenje.</w:t>
            </w:r>
          </w:p>
        </w:tc>
      </w:tr>
    </w:tbl>
    <w:p w14:paraId="50449BDC" w14:textId="77777777" w:rsidR="007A1183" w:rsidRPr="00E80F96" w:rsidRDefault="007A1183" w:rsidP="007A1183">
      <w:pPr>
        <w:rPr>
          <w:rFonts w:ascii="Times New Roman" w:eastAsia="Times New Roman" w:hAnsi="Times New Roman" w:cs="Times New Roman"/>
          <w:vanish/>
          <w:color w:val="00000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"/>
        <w:gridCol w:w="8901"/>
      </w:tblGrid>
      <w:tr w:rsidR="007A1183" w:rsidRPr="00E80F96" w14:paraId="167B6710" w14:textId="77777777" w:rsidTr="006A076B">
        <w:tc>
          <w:tcPr>
            <w:tcW w:w="0" w:type="auto"/>
            <w:shd w:val="clear" w:color="auto" w:fill="auto"/>
            <w:hideMark/>
          </w:tcPr>
          <w:p w14:paraId="731C1478" w14:textId="77777777" w:rsidR="007A1183" w:rsidRPr="00E80F96" w:rsidRDefault="007A1183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c)</w:t>
            </w:r>
          </w:p>
        </w:tc>
        <w:tc>
          <w:tcPr>
            <w:tcW w:w="0" w:type="auto"/>
            <w:shd w:val="clear" w:color="auto" w:fill="auto"/>
            <w:hideMark/>
          </w:tcPr>
          <w:p w14:paraId="174A3FB9" w14:textId="77777777" w:rsidR="007A1183" w:rsidRPr="00E80F96" w:rsidRDefault="007A1183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Mogu se razviti različiti pristupi procjeni ključnih kompetencija u neformalnim i informalnim okruženjima učenja, uključujući povezane aktivnosti poslodavaca, savjetnika za profesionalno usmjeravanje i socijalnih partnera. Oni bi trebali biti dostupni svima, a posebice niskokvalificiranim pojedincima kako bi se podržao njihov napredak u daljnjem učenju.</w:t>
            </w:r>
          </w:p>
        </w:tc>
      </w:tr>
    </w:tbl>
    <w:p w14:paraId="172D95E6" w14:textId="77777777" w:rsidR="007A1183" w:rsidRPr="00E80F96" w:rsidRDefault="007A1183" w:rsidP="007A1183">
      <w:pPr>
        <w:rPr>
          <w:rFonts w:ascii="Times New Roman" w:eastAsia="Times New Roman" w:hAnsi="Times New Roman" w:cs="Times New Roman"/>
          <w:vanish/>
          <w:color w:val="000000"/>
          <w:sz w:val="22"/>
          <w:szCs w:val="22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"/>
        <w:gridCol w:w="8888"/>
      </w:tblGrid>
      <w:tr w:rsidR="007A1183" w:rsidRPr="00E80F96" w14:paraId="617640B2" w14:textId="77777777" w:rsidTr="006A076B">
        <w:tc>
          <w:tcPr>
            <w:tcW w:w="0" w:type="auto"/>
            <w:shd w:val="clear" w:color="auto" w:fill="auto"/>
            <w:hideMark/>
          </w:tcPr>
          <w:p w14:paraId="4ADC5E2A" w14:textId="77777777" w:rsidR="007A1183" w:rsidRPr="00E80F96" w:rsidRDefault="007A1183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d)</w:t>
            </w:r>
          </w:p>
        </w:tc>
        <w:tc>
          <w:tcPr>
            <w:tcW w:w="0" w:type="auto"/>
            <w:shd w:val="clear" w:color="auto" w:fill="auto"/>
            <w:hideMark/>
          </w:tcPr>
          <w:p w14:paraId="03154149" w14:textId="77777777" w:rsidR="007A1183" w:rsidRPr="00E80F96" w:rsidRDefault="007A1183" w:rsidP="006A076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E80F96">
              <w:rPr>
                <w:rFonts w:ascii="Times New Roman" w:eastAsia="Times New Roman" w:hAnsi="Times New Roman" w:cs="Times New Roman"/>
                <w:sz w:val="22"/>
                <w:szCs w:val="22"/>
              </w:rPr>
              <w:t>Vrednovanje ishoda učenja stečenih neformalnim i informalnim učenjem moglo bi se proširiti i postati robusnije, u skladu s Preporukom Vijeća o vrednovanju prethodnog neformalnog i informalnog učenja, uključujući različite postupke vrednovanja. Upotrebom alata kao što su Europass i Youthpass, koji služe kao alati za dokumentiranje i samoprocjenu, također se može pružiti potpora postupku vrednovanja.</w:t>
            </w:r>
          </w:p>
        </w:tc>
      </w:tr>
    </w:tbl>
    <w:p w14:paraId="109CC8D5" w14:textId="77777777" w:rsidR="007A1183" w:rsidRPr="00E80F96" w:rsidRDefault="007A1183" w:rsidP="007A1183">
      <w:pPr>
        <w:spacing w:before="240" w:after="60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80F96">
        <w:rPr>
          <w:rFonts w:ascii="Times New Roman" w:eastAsia="Times New Roman" w:hAnsi="Times New Roman" w:cs="Times New Roman"/>
          <w:noProof/>
          <w:color w:val="000000"/>
          <w:sz w:val="22"/>
          <w:szCs w:val="22"/>
        </w:rPr>
        <w:pict w14:anchorId="4DBDE769">
          <v:rect id="_x0000_i1025" alt="" style="width:135.15pt;height:.75pt;mso-width-percent:0;mso-height-percent:0;mso-width-percent:0;mso-height-percent:0" o:hrpct="0" o:hrstd="t" o:hrnoshade="t" o:hr="t" fillcolor="black" stroked="f"/>
        </w:pict>
      </w:r>
    </w:p>
    <w:p w14:paraId="69D14787" w14:textId="77777777" w:rsidR="007A1183" w:rsidRPr="007A1183" w:rsidRDefault="007A1183" w:rsidP="007A1183">
      <w:pPr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hyperlink r:id="rId5" w:anchor="ntc1-C_2018189HR.01000701-E0001" w:history="1">
        <w:r w:rsidRPr="007A1183">
          <w:rPr>
            <w:rFonts w:ascii="Times New Roman" w:eastAsia="Times New Roman" w:hAnsi="Times New Roman" w:cs="Times New Roman"/>
            <w:color w:val="3366CC"/>
            <w:sz w:val="18"/>
            <w:szCs w:val="18"/>
          </w:rPr>
          <w:t>(</w:t>
        </w:r>
        <w:r w:rsidRPr="007A1183">
          <w:rPr>
            <w:rFonts w:ascii="Times New Roman" w:eastAsia="Times New Roman" w:hAnsi="Times New Roman" w:cs="Times New Roman"/>
            <w:color w:val="3366CC"/>
            <w:sz w:val="18"/>
            <w:szCs w:val="18"/>
            <w:vertAlign w:val="superscript"/>
          </w:rPr>
          <w:t>1</w:t>
        </w:r>
        <w:r w:rsidRPr="007A1183">
          <w:rPr>
            <w:rFonts w:ascii="Times New Roman" w:eastAsia="Times New Roman" w:hAnsi="Times New Roman" w:cs="Times New Roman"/>
            <w:color w:val="3366CC"/>
            <w:sz w:val="18"/>
            <w:szCs w:val="18"/>
          </w:rPr>
          <w:t>)</w:t>
        </w:r>
      </w:hyperlink>
      <w:r w:rsidRPr="007A1183">
        <w:rPr>
          <w:rFonts w:ascii="Times New Roman" w:eastAsia="Times New Roman" w:hAnsi="Times New Roman" w:cs="Times New Roman"/>
          <w:color w:val="000000"/>
          <w:sz w:val="18"/>
          <w:szCs w:val="18"/>
        </w:rPr>
        <w:t>  Iako Vijeće Europe upotrebljava pojam „plurijezičnost” (</w:t>
      </w:r>
      <w:r w:rsidRPr="007A118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plurilingualism</w:t>
      </w:r>
      <w:r w:rsidRPr="007A1183">
        <w:rPr>
          <w:rFonts w:ascii="Times New Roman" w:eastAsia="Times New Roman" w:hAnsi="Times New Roman" w:cs="Times New Roman"/>
          <w:color w:val="000000"/>
          <w:sz w:val="18"/>
          <w:szCs w:val="18"/>
        </w:rPr>
        <w:t>) u vezi s osobama koje imaju višestruke jezične kompetencije, u službenim dokumentima Europske unije pojam „višejezičnost” (</w:t>
      </w:r>
      <w:r w:rsidRPr="007A118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multilingualism</w:t>
      </w:r>
      <w:r w:rsidRPr="007A1183">
        <w:rPr>
          <w:rFonts w:ascii="Times New Roman" w:eastAsia="Times New Roman" w:hAnsi="Times New Roman" w:cs="Times New Roman"/>
          <w:color w:val="000000"/>
          <w:sz w:val="18"/>
          <w:szCs w:val="18"/>
        </w:rPr>
        <w:t>) upotrebljava se za opis i kompetencija pojedinaca i društvenih situacija. To je djelomično zbog poteškoća u razlikovanju pojmova </w:t>
      </w:r>
      <w:r w:rsidRPr="007A118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plurilingual</w:t>
      </w:r>
      <w:r w:rsidRPr="007A1183">
        <w:rPr>
          <w:rFonts w:ascii="Times New Roman" w:eastAsia="Times New Roman" w:hAnsi="Times New Roman" w:cs="Times New Roman"/>
          <w:color w:val="000000"/>
          <w:sz w:val="18"/>
          <w:szCs w:val="18"/>
        </w:rPr>
        <w:t> i </w:t>
      </w:r>
      <w:r w:rsidRPr="007A1183">
        <w:rPr>
          <w:rFonts w:ascii="Times New Roman" w:eastAsia="Times New Roman" w:hAnsi="Times New Roman" w:cs="Times New Roman"/>
          <w:i/>
          <w:iCs/>
          <w:color w:val="000000"/>
          <w:sz w:val="18"/>
          <w:szCs w:val="18"/>
        </w:rPr>
        <w:t>multilingual</w:t>
      </w:r>
      <w:r w:rsidRPr="007A1183">
        <w:rPr>
          <w:rFonts w:ascii="Times New Roman" w:eastAsia="Times New Roman" w:hAnsi="Times New Roman" w:cs="Times New Roman"/>
          <w:color w:val="000000"/>
          <w:sz w:val="18"/>
          <w:szCs w:val="18"/>
        </w:rPr>
        <w:t> u jezicima osim engleskog i francuskog.</w:t>
      </w:r>
    </w:p>
    <w:p w14:paraId="1CB1F012" w14:textId="77777777" w:rsidR="007A1183" w:rsidRPr="007A1183" w:rsidRDefault="007A1183" w:rsidP="007A1183">
      <w:pPr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hyperlink r:id="rId6" w:anchor="ntc2-C_2018189HR.01000701-E0002" w:history="1">
        <w:r w:rsidRPr="007A1183">
          <w:rPr>
            <w:rFonts w:ascii="Times New Roman" w:eastAsia="Times New Roman" w:hAnsi="Times New Roman" w:cs="Times New Roman"/>
            <w:color w:val="3366CC"/>
            <w:sz w:val="18"/>
            <w:szCs w:val="18"/>
          </w:rPr>
          <w:t>(</w:t>
        </w:r>
        <w:r w:rsidRPr="007A1183">
          <w:rPr>
            <w:rFonts w:ascii="Times New Roman" w:eastAsia="Times New Roman" w:hAnsi="Times New Roman" w:cs="Times New Roman"/>
            <w:color w:val="3366CC"/>
            <w:sz w:val="18"/>
            <w:szCs w:val="18"/>
            <w:vertAlign w:val="superscript"/>
          </w:rPr>
          <w:t>2</w:t>
        </w:r>
        <w:r w:rsidRPr="007A1183">
          <w:rPr>
            <w:rFonts w:ascii="Times New Roman" w:eastAsia="Times New Roman" w:hAnsi="Times New Roman" w:cs="Times New Roman"/>
            <w:color w:val="3366CC"/>
            <w:sz w:val="18"/>
            <w:szCs w:val="18"/>
          </w:rPr>
          <w:t>)</w:t>
        </w:r>
      </w:hyperlink>
      <w:r w:rsidRPr="007A1183">
        <w:rPr>
          <w:rFonts w:ascii="Times New Roman" w:eastAsia="Times New Roman" w:hAnsi="Times New Roman" w:cs="Times New Roman"/>
          <w:color w:val="000000"/>
          <w:sz w:val="18"/>
          <w:szCs w:val="18"/>
        </w:rPr>
        <w:t>  Uključeno je i učenje klasičnih jezika poput starogrčkog i latinskog. Klasični jezici izvor su mnogih suvremenih jezika i stoga mogu olakšati učenje jezika općenito.</w:t>
      </w:r>
    </w:p>
    <w:p w14:paraId="715396D6" w14:textId="77777777" w:rsidR="007A1183" w:rsidRPr="007A1183" w:rsidRDefault="007A1183" w:rsidP="007A1183">
      <w:pPr>
        <w:spacing w:before="60" w:after="60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hyperlink r:id="rId7" w:anchor="ntc3-C_2018189HR.01000701-E0003" w:history="1">
        <w:r w:rsidRPr="007A1183">
          <w:rPr>
            <w:rFonts w:ascii="Times New Roman" w:eastAsia="Times New Roman" w:hAnsi="Times New Roman" w:cs="Times New Roman"/>
            <w:color w:val="3366CC"/>
            <w:sz w:val="18"/>
            <w:szCs w:val="18"/>
          </w:rPr>
          <w:t>(</w:t>
        </w:r>
        <w:r w:rsidRPr="007A1183">
          <w:rPr>
            <w:rFonts w:ascii="Times New Roman" w:eastAsia="Times New Roman" w:hAnsi="Times New Roman" w:cs="Times New Roman"/>
            <w:color w:val="3366CC"/>
            <w:sz w:val="18"/>
            <w:szCs w:val="18"/>
            <w:vertAlign w:val="superscript"/>
          </w:rPr>
          <w:t>3</w:t>
        </w:r>
        <w:r w:rsidRPr="007A1183">
          <w:rPr>
            <w:rFonts w:ascii="Times New Roman" w:eastAsia="Times New Roman" w:hAnsi="Times New Roman" w:cs="Times New Roman"/>
            <w:color w:val="3366CC"/>
            <w:sz w:val="18"/>
            <w:szCs w:val="18"/>
          </w:rPr>
          <w:t>)</w:t>
        </w:r>
      </w:hyperlink>
      <w:r w:rsidRPr="007A1183">
        <w:rPr>
          <w:rFonts w:ascii="Times New Roman" w:eastAsia="Times New Roman" w:hAnsi="Times New Roman" w:cs="Times New Roman"/>
          <w:color w:val="000000"/>
          <w:sz w:val="18"/>
          <w:szCs w:val="18"/>
        </w:rPr>
        <w:t>  Primjerice, Zajednički europski referentni okvir za jezike, Okvir digitalnih kompetencija, Okvir za poduzetničke kompetencije i opisi kompetencija prema programu PISA pomoćni su materijali za procjenu kompetencija.</w:t>
      </w:r>
    </w:p>
    <w:p w14:paraId="2ECE87B4" w14:textId="77777777" w:rsidR="007A1183" w:rsidRPr="007A1183" w:rsidRDefault="007A1183" w:rsidP="007A1183">
      <w:pPr>
        <w:rPr>
          <w:rFonts w:ascii="Times New Roman" w:eastAsia="Times New Roman" w:hAnsi="Times New Roman" w:cs="Times New Roman"/>
          <w:sz w:val="18"/>
          <w:szCs w:val="18"/>
        </w:rPr>
      </w:pPr>
    </w:p>
    <w:p w14:paraId="595394C7" w14:textId="77777777" w:rsidR="001A3524" w:rsidRDefault="001A3524"/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183"/>
    <w:rsid w:val="001A3524"/>
    <w:rsid w:val="007A1183"/>
    <w:rsid w:val="00963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7A8A0"/>
  <w15:chartTrackingRefBased/>
  <w15:docId w15:val="{EDAC7121-5DAC-42E0-95A6-E6C7B5058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1183"/>
    <w:pPr>
      <w:spacing w:after="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ur-lex.europa.eu/legal-content/HR/TXT/HTML/?uri=CELEX:32018H0604(01)&amp;from=E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ur-lex.europa.eu/legal-content/HR/TXT/HTML/?uri=CELEX:32018H0604(01)&amp;from=EN" TargetMode="External"/><Relationship Id="rId5" Type="http://schemas.openxmlformats.org/officeDocument/2006/relationships/hyperlink" Target="https://eur-lex.europa.eu/legal-content/HR/TXT/HTML/?uri=CELEX:32018H0604(01)&amp;from=EN" TargetMode="External"/><Relationship Id="rId4" Type="http://schemas.openxmlformats.org/officeDocument/2006/relationships/hyperlink" Target="https://eur-lex.europa.eu/legal-content/HR/TXT/HTML/?uri=CELEX:32018H0604(01)&amp;from=EN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1293</Words>
  <Characters>7376</Characters>
  <Application>Microsoft Office Word</Application>
  <DocSecurity>0</DocSecurity>
  <Lines>61</Lines>
  <Paragraphs>17</Paragraphs>
  <ScaleCrop>false</ScaleCrop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Jukic</dc:creator>
  <cp:keywords/>
  <dc:description/>
  <cp:lastModifiedBy>Maja Jukic</cp:lastModifiedBy>
  <cp:revision>1</cp:revision>
  <dcterms:created xsi:type="dcterms:W3CDTF">2020-09-01T16:24:00Z</dcterms:created>
  <dcterms:modified xsi:type="dcterms:W3CDTF">2020-09-01T16:25:00Z</dcterms:modified>
</cp:coreProperties>
</file>