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19BA" w14:textId="77777777" w:rsidR="003C3DFB" w:rsidRPr="00E80F96" w:rsidRDefault="003C3DFB" w:rsidP="003C3DF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24D5E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B.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80F96">
        <w:rPr>
          <w:rFonts w:ascii="Times New Roman" w:eastAsia="Times New Roman" w:hAnsi="Times New Roman" w:cs="Times New Roman"/>
          <w:b/>
          <w:bCs/>
          <w:color w:val="000000"/>
        </w:rPr>
        <w:t>USVOJILO JE OVU PREPORUKU:</w:t>
      </w:r>
    </w:p>
    <w:p w14:paraId="379CF453" w14:textId="77777777" w:rsidR="003C3DFB" w:rsidRPr="00E80F96" w:rsidRDefault="003C3DFB" w:rsidP="003C3DFB">
      <w:p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E80F96">
        <w:rPr>
          <w:rFonts w:ascii="Times New Roman" w:eastAsia="Times New Roman" w:hAnsi="Times New Roman" w:cs="Times New Roman"/>
          <w:color w:val="000000"/>
        </w:rPr>
        <w:t>Države članice trebale bi: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3434E3CF" w14:textId="77777777" w:rsidTr="006A076B">
        <w:tc>
          <w:tcPr>
            <w:tcW w:w="0" w:type="auto"/>
            <w:shd w:val="clear" w:color="auto" w:fill="auto"/>
            <w:hideMark/>
          </w:tcPr>
          <w:p w14:paraId="1B55E261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DA6EFE" w14:textId="77777777" w:rsidR="003C3DFB" w:rsidRPr="00E80F96" w:rsidRDefault="003C3DFB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14:paraId="7EE0D23F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podupirati pravo na kvalitetno i uključivo obrazovanje, osposobljavanje i cjeloživotno učenje te svima omogućiti razvoj ključnih kompetencija uz potpunu upotrebu dokumenta „Ključne kompetencije za cjeloživotno učenje – europski referentni okvir” iz Priloga 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316C2E87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11EEC223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9A66F3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u okviru nacionalnih strategija cjeloživotnog učenja podupirati i unapređivati razvoj ključnih kompetencija svih pojedinaca od najranije dobi i tijekom cijelog života;</w:t>
                  </w:r>
                </w:p>
              </w:tc>
            </w:tr>
          </w:tbl>
          <w:p w14:paraId="1E41B801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651DCEEA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5A3CB25D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9375DF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podupirati sve učenike, uključujući one koji se suočavaju s poteškoćama ili imaju posebne potrebe da ostvare svoj potencijal;</w:t>
                  </w:r>
                </w:p>
              </w:tc>
            </w:tr>
          </w:tbl>
          <w:p w14:paraId="4397DE38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C145164" w14:textId="77777777" w:rsidR="003C3DFB" w:rsidRPr="00E80F96" w:rsidRDefault="003C3DFB" w:rsidP="003C3DFB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5441D87B" w14:textId="77777777" w:rsidTr="006A076B">
        <w:tc>
          <w:tcPr>
            <w:tcW w:w="0" w:type="auto"/>
            <w:shd w:val="clear" w:color="auto" w:fill="auto"/>
            <w:hideMark/>
          </w:tcPr>
          <w:p w14:paraId="62835752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B9D781" w14:textId="77777777" w:rsidR="003C3DFB" w:rsidRPr="00E80F96" w:rsidRDefault="003C3DFB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14:paraId="6B8D4D39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podupirati razvoj ključnih kompetencija posvećujući pritom posebnu pozornost sljedećem: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1BE5E585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26D869FC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66C023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poboljšanju postignuća u osnovnim vještinama (pismenost, matematička pismenost i osnovne digitalne vještine) i podupiranju razvoja kompetencije učenja kako učiti, što čini temelj, koji se stalno unapređuje, cjeloživotnog učenja i sudjelovanja u društvu;</w:t>
                  </w:r>
                </w:p>
              </w:tc>
            </w:tr>
          </w:tbl>
          <w:p w14:paraId="5DA2DAE2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048CC778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4BB3F973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2759974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podizanju razine osobne i socijalne kompetencije te kompetencije učenja kako učiti za poboljšanje zdravog i prema budućnosti usmjerenog načina života;</w:t>
                  </w:r>
                </w:p>
              </w:tc>
            </w:tr>
          </w:tbl>
          <w:p w14:paraId="27CCEF48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5A7510D4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7C0468D5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0369EC0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poticanju usvajanja kompetencija u području prirodoslovlja, tehnologije, inženjerstva i matematike (STEM), uzimajući u obzir njihovu povezanost s umjetnošću, kreativnošću i inovacijama te motiviranju više mladih, osobito djevojčica i mladih žena, za odabir zanimanja u području STEM-a;</w:t>
                  </w:r>
                </w:p>
              </w:tc>
            </w:tr>
          </w:tbl>
          <w:p w14:paraId="58137021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17BBD17A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7CC17707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004DF7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povećanju i poboljšanju razine digitalnih kompetencija u svim fazama obrazovanja i osposobljavanja te u svim segmentima stanovništva;</w:t>
                  </w:r>
                </w:p>
              </w:tc>
            </w:tr>
          </w:tbl>
          <w:p w14:paraId="1B5FF982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1C8A04CE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4BF3AEF1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8B2EA9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razvoju poduzetničkih kompetencija, kreativnosti i osjećaja inicijative, osobito među mladima, primjerice promicanjem mogućnosti za mlade učenike da steknu barem jedno poduzetničko iskustvo tijekom školskog obrazovanja;</w:t>
                  </w:r>
                </w:p>
              </w:tc>
            </w:tr>
          </w:tbl>
          <w:p w14:paraId="75E70C87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264FBBDD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3BD89200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E65E6AF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poboljšanju razine jezičnih kompetencija službenog i drugih jezika te podupiranju učenika u učenju različitih jezika značajnih za njihovu radnu i životnu sredinu i kojima se može doprinijeti prekograničnoj komunikaciji i mobilnosti;</w:t>
                  </w:r>
                </w:p>
              </w:tc>
            </w:tr>
          </w:tbl>
          <w:p w14:paraId="5BE6E387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6751B57E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43B38E81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6ECA3F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poticanju razvoja kompetencija građanstva s ciljem jačanja svijesti o zajedničkim vrijednostima, kao što je navedeno u članku 2. Ugovora o Europskoj uniji i Povelji Europske unije o temeljnim pravima;</w:t>
                  </w:r>
                </w:p>
              </w:tc>
            </w:tr>
          </w:tbl>
          <w:p w14:paraId="44AC7E1C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424396B9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286EE21F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2.8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E592F5" w14:textId="77777777" w:rsidR="003C3DFB" w:rsidRPr="00E80F96" w:rsidRDefault="003C3DFB" w:rsidP="006A076B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podizanju svijesti svih učenika te nastavnog osoblja o važnosti stjecanja ključnih kompetencija i njihova odnosa prema društvu;</w:t>
                  </w:r>
                </w:p>
              </w:tc>
            </w:tr>
          </w:tbl>
          <w:p w14:paraId="35FA0941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D1AC6AA" w14:textId="77777777" w:rsidR="003C3DFB" w:rsidRPr="00E80F96" w:rsidRDefault="003C3DFB" w:rsidP="003C3DFB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202FB940" w14:textId="77777777" w:rsidTr="006A076B">
        <w:tc>
          <w:tcPr>
            <w:tcW w:w="0" w:type="auto"/>
            <w:shd w:val="clear" w:color="auto" w:fill="auto"/>
            <w:hideMark/>
          </w:tcPr>
          <w:p w14:paraId="07445BC0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808F1E" w14:textId="77777777" w:rsidR="003C3DFB" w:rsidRPr="00E80F96" w:rsidRDefault="003C3DFB" w:rsidP="003C3DF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14:paraId="32FF5ED8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olakšati stjecanje ključnih kompetencija primjenom dobrih praksi za potporu razvoju ključnih kompetencija kako je navedeno u Prilogu, posebice: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5A2041FF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09E6625C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3.1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580763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promicanjem različitih pristupa učenju i okružja učenja, uključujući odgovarajuću upotrebu digitalnih tehnologija u obrazovnom okruženju te okruženju osposobljavanja i učenja;</w:t>
                  </w:r>
                </w:p>
              </w:tc>
            </w:tr>
          </w:tbl>
          <w:p w14:paraId="2290B618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395DF64D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24A6841F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lastRenderedPageBreak/>
                    <w:t>3.2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276517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pružanjem potpore nastavnom osoblju i drugim dionicima koji podupiru procese učenja, uključujući obitelji, s ciljem unapređenja ključnih kompetencija učenika kao dio pristupa za cjeloživotno učenje u obrazovnom okruženju te okruženju osposobljavanja i učenja;</w:t>
                  </w:r>
                </w:p>
              </w:tc>
            </w:tr>
          </w:tbl>
          <w:p w14:paraId="64BEC4BB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5461BC92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058E3532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9B6AEC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podupiranjem i daljnjim razvojem procjene i vrednovanja ključnih kompetencija stečenih u različitim okruženjima u skladu s pravilima i postupcima država članica;</w:t>
                  </w:r>
                </w:p>
              </w:tc>
            </w:tr>
          </w:tbl>
          <w:p w14:paraId="448C08E7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22C89B79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4B3E53EB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3.4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263B95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jačanjem suradnje između obrazovnog okruženja te okruženja osposobljavanja i učenja na svim razinama i u različitim područjima kako bi se poboljšali kontinuitet razvoja učeničkih kompetencija i razvoj inovativnih pristupa učenju;</w:t>
                  </w:r>
                </w:p>
              </w:tc>
            </w:tr>
          </w:tbl>
          <w:p w14:paraId="05012A5B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13B369CA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18C29DC8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2BC863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unapređivanjem alata, resursa i smjernica u obrazovanju, osposobljavanju, zapošljavanju i drugim okruženjima učenja kako bi se ljude poduprlo u upravljanju putevima cjeloživotnog učenja;</w:t>
                  </w:r>
                </w:p>
              </w:tc>
            </w:tr>
          </w:tbl>
          <w:p w14:paraId="64EE2C8B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1E27D2D" w14:textId="77777777" w:rsidR="003C3DFB" w:rsidRPr="00E80F96" w:rsidRDefault="003C3DFB" w:rsidP="003C3DFB">
      <w:pPr>
        <w:spacing w:after="0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0E85D102" w14:textId="77777777" w:rsidTr="006A076B">
        <w:tc>
          <w:tcPr>
            <w:tcW w:w="0" w:type="auto"/>
            <w:shd w:val="clear" w:color="auto" w:fill="auto"/>
            <w:hideMark/>
          </w:tcPr>
          <w:p w14:paraId="48E918A4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6317A2" w14:textId="77777777" w:rsidR="003C3DFB" w:rsidRPr="00E80F96" w:rsidRDefault="003C3DFB" w:rsidP="003C3DF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14:paraId="418E6357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uvrstiti ciljeve održivog razvoja (SDG) UN-a, osobito cilja 4.7 u obrazovanje, osposobljavanje i učenje, među ostalim poticanjem stjecanja znanja o ograničavanju višedimenzionalne prirode klimatskih promjena i upotrebi prirodnih resursa na održiv način;</w:t>
            </w:r>
          </w:p>
        </w:tc>
      </w:tr>
    </w:tbl>
    <w:p w14:paraId="3EAFE962" w14:textId="77777777" w:rsidR="003C3DFB" w:rsidRPr="00E80F96" w:rsidRDefault="003C3DFB" w:rsidP="003C3DFB">
      <w:pPr>
        <w:spacing w:after="0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577C34BE" w14:textId="77777777" w:rsidTr="006A076B">
        <w:tc>
          <w:tcPr>
            <w:tcW w:w="0" w:type="auto"/>
            <w:shd w:val="clear" w:color="auto" w:fill="auto"/>
            <w:hideMark/>
          </w:tcPr>
          <w:p w14:paraId="7D991C28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DA1646" w14:textId="77777777" w:rsidR="003C3DFB" w:rsidRPr="00E80F96" w:rsidRDefault="003C3DFB" w:rsidP="003C3DF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14:paraId="64DFBA26" w14:textId="341F5449" w:rsidR="003C3DFB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 xml:space="preserve">izvješćivati s pomoću postojećih okvira i alata strateškog okvira za europsku suradnju u području obrazovanja i osposobljavanja (ET 2020.) i svih kasnijih okvira o iskustvima i napretku u promicanju ključnih kompetencija u svim sektorima obrazovanja i osposobljavanja, uključujući neformalno i, u najvećoj mogućoj mjeri,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color w:val="000000"/>
              </w:rPr>
              <w:t>informalno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color w:val="000000"/>
              </w:rPr>
              <w:t xml:space="preserve"> učenje;</w:t>
            </w:r>
          </w:p>
          <w:p w14:paraId="75F51D91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3003A9C" w14:textId="6BA500DF" w:rsidR="003C3DFB" w:rsidRPr="00E80F96" w:rsidRDefault="003C3DFB" w:rsidP="003C3DF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</w:rPr>
        <w:t>POZDRAVLJA ČINJENICU DA KOMISIJA, UZIMAJUĆI U OBZIR NADLEŽNOSTI DRŽAVA ČLANICA: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2C988CEC" w14:textId="77777777" w:rsidTr="006A076B">
        <w:tc>
          <w:tcPr>
            <w:tcW w:w="0" w:type="auto"/>
            <w:shd w:val="clear" w:color="auto" w:fill="auto"/>
            <w:hideMark/>
          </w:tcPr>
          <w:p w14:paraId="4AD5477E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2477EC" w14:textId="77777777" w:rsidR="003C3DFB" w:rsidRPr="00E80F96" w:rsidRDefault="003C3DFB" w:rsidP="003C3DF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14:paraId="5919A00E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podupire provedbu Preporuke i primjenu Europskog referentnog okvira i u tu svrhu olakšava uzajamno učenje među državama članicama, te razvoj, u suradnji s državama članicama, referentnih materijala i alata kao što su: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76D74F54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471E14B9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6.1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0DDCAA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prema potrebi, okviri za posebne kompetencije kojima se olakšavaju razvoj i procjena kompetencija </w:t>
                  </w:r>
                  <w:hyperlink r:id="rId4" w:anchor="ntr21-C_2018189HR.01000101-E0021" w:history="1"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</w:rPr>
                      <w:t>(</w:t>
                    </w:r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  <w:vertAlign w:val="superscript"/>
                      </w:rPr>
                      <w:t>21</w:t>
                    </w:r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</w:rPr>
                      <w:t>)</w:t>
                    </w:r>
                  </w:hyperlink>
                  <w:r w:rsidRPr="00E80F96">
                    <w:rPr>
                      <w:rFonts w:ascii="Times New Roman" w:eastAsia="Times New Roman" w:hAnsi="Times New Roman" w:cs="Times New Roman"/>
                    </w:rPr>
                    <w:t>;</w:t>
                  </w:r>
                </w:p>
              </w:tc>
            </w:tr>
          </w:tbl>
          <w:p w14:paraId="3D0B4719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8614"/>
            </w:tblGrid>
            <w:tr w:rsidR="003C3DFB" w:rsidRPr="00E80F96" w14:paraId="4836753F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74B34E0A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6.2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C5CC2C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na dokazima utemeljene smjernice o novim oblicima učenja i pristupima za pružanje potpore;</w:t>
                  </w:r>
                </w:p>
              </w:tc>
            </w:tr>
          </w:tbl>
          <w:p w14:paraId="6C3CD3BE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75BCEBDF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74940267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6.3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2D1649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alati potpore za nastavno osoblje i druge dionike, poput internetskih tečajeva osposobljavanja, alata za samoprocjenu </w:t>
                  </w:r>
                  <w:hyperlink r:id="rId5" w:anchor="ntr22-C_2018189HR.01000101-E0022" w:history="1"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</w:rPr>
                      <w:t>(</w:t>
                    </w:r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  <w:vertAlign w:val="superscript"/>
                      </w:rPr>
                      <w:t>22</w:t>
                    </w:r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</w:rPr>
                      <w:t>)</w:t>
                    </w:r>
                  </w:hyperlink>
                  <w:r w:rsidRPr="00E80F96">
                    <w:rPr>
                      <w:rFonts w:ascii="Times New Roman" w:eastAsia="Times New Roman" w:hAnsi="Times New Roman" w:cs="Times New Roman"/>
                    </w:rPr>
                    <w:t>, mreža, uključujući mrežu e-</w:t>
                  </w:r>
                  <w:proofErr w:type="spellStart"/>
                  <w:r w:rsidRPr="00E80F96">
                    <w:rPr>
                      <w:rFonts w:ascii="Times New Roman" w:eastAsia="Times New Roman" w:hAnsi="Times New Roman" w:cs="Times New Roman"/>
                    </w:rPr>
                    <w:t>Twinning</w:t>
                  </w:r>
                  <w:proofErr w:type="spellEnd"/>
                  <w:r w:rsidRPr="00E80F96">
                    <w:rPr>
                      <w:rFonts w:ascii="Times New Roman" w:eastAsia="Times New Roman" w:hAnsi="Times New Roman" w:cs="Times New Roman"/>
                    </w:rPr>
                    <w:t xml:space="preserve"> i Elektroničku platformu za obrazovanje odraslih u Europi (EPALE);</w:t>
                  </w:r>
                </w:p>
              </w:tc>
            </w:tr>
          </w:tbl>
          <w:p w14:paraId="6BB1C5DE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8626"/>
            </w:tblGrid>
            <w:tr w:rsidR="003C3DFB" w:rsidRPr="00E80F96" w14:paraId="44F544AD" w14:textId="77777777" w:rsidTr="006A076B">
              <w:tc>
                <w:tcPr>
                  <w:tcW w:w="0" w:type="auto"/>
                  <w:shd w:val="clear" w:color="auto" w:fill="auto"/>
                  <w:hideMark/>
                </w:tcPr>
                <w:p w14:paraId="1E00B93B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6.4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CECF59" w14:textId="77777777" w:rsidR="003C3DFB" w:rsidRPr="00E80F96" w:rsidRDefault="003C3DFB" w:rsidP="003C3DFB">
                  <w:pPr>
                    <w:spacing w:before="120"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80F96">
                    <w:rPr>
                      <w:rFonts w:ascii="Times New Roman" w:eastAsia="Times New Roman" w:hAnsi="Times New Roman" w:cs="Times New Roman"/>
                    </w:rPr>
                    <w:t>pristupi procjeni i potpori vrednovanja ključnih kompetencija stečenih na temelju prethodnog rada u kontekstu okvira ET 2020 </w:t>
                  </w:r>
                  <w:hyperlink r:id="rId6" w:anchor="ntr23-C_2018189HR.01000101-E0023" w:history="1"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</w:rPr>
                      <w:t>(</w:t>
                    </w:r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  <w:vertAlign w:val="superscript"/>
                      </w:rPr>
                      <w:t>23</w:t>
                    </w:r>
                    <w:r w:rsidRPr="00E80F96">
                      <w:rPr>
                        <w:rFonts w:ascii="Times New Roman" w:eastAsia="Times New Roman" w:hAnsi="Times New Roman" w:cs="Times New Roman"/>
                        <w:color w:val="3366CC"/>
                      </w:rPr>
                      <w:t>)</w:t>
                    </w:r>
                  </w:hyperlink>
                  <w:r w:rsidRPr="00E80F96">
                    <w:rPr>
                      <w:rFonts w:ascii="Times New Roman" w:eastAsia="Times New Roman" w:hAnsi="Times New Roman" w:cs="Times New Roman"/>
                    </w:rPr>
                    <w:t>. i svih kasnijih okvira;</w:t>
                  </w:r>
                </w:p>
              </w:tc>
            </w:tr>
          </w:tbl>
          <w:p w14:paraId="1058754C" w14:textId="77777777" w:rsidR="003C3DFB" w:rsidRPr="00E80F96" w:rsidRDefault="003C3DFB" w:rsidP="003C3DF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6308EE" w14:textId="77777777" w:rsidR="003C3DFB" w:rsidRPr="00E80F96" w:rsidRDefault="003C3DFB" w:rsidP="003C3DFB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07BFF851" w14:textId="77777777" w:rsidTr="006A076B">
        <w:tc>
          <w:tcPr>
            <w:tcW w:w="0" w:type="auto"/>
            <w:shd w:val="clear" w:color="auto" w:fill="auto"/>
            <w:hideMark/>
          </w:tcPr>
          <w:p w14:paraId="395A9270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B0B5D1" w14:textId="77777777" w:rsidR="003C3DFB" w:rsidRPr="00E80F96" w:rsidRDefault="003C3DFB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14:paraId="303BF8AE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 xml:space="preserve">podržava inicijative za daljnji razvoj i promicanje obrazovanja za održivi razvoj u pogledu UN-ova četvrtog cilja održivog razvoja o </w:t>
            </w:r>
            <w:proofErr w:type="spellStart"/>
            <w:r w:rsidRPr="00E80F96">
              <w:rPr>
                <w:rFonts w:ascii="Times New Roman" w:eastAsia="Times New Roman" w:hAnsi="Times New Roman" w:cs="Times New Roman"/>
                <w:color w:val="000000"/>
              </w:rPr>
              <w:t>uključivom</w:t>
            </w:r>
            <w:proofErr w:type="spellEnd"/>
            <w:r w:rsidRPr="00E80F96">
              <w:rPr>
                <w:rFonts w:ascii="Times New Roman" w:eastAsia="Times New Roman" w:hAnsi="Times New Roman" w:cs="Times New Roman"/>
                <w:color w:val="000000"/>
              </w:rPr>
              <w:t>, ravnopravnom i kvalitetnom obrazovanju te mogućnostima cjeloživotnog učenja za sve;</w:t>
            </w:r>
          </w:p>
        </w:tc>
      </w:tr>
    </w:tbl>
    <w:p w14:paraId="6AA5EB61" w14:textId="77777777" w:rsidR="003C3DFB" w:rsidRPr="00E80F96" w:rsidRDefault="003C3DFB" w:rsidP="003C3DFB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5"/>
        <w:gridCol w:w="8901"/>
      </w:tblGrid>
      <w:tr w:rsidR="003C3DFB" w:rsidRPr="00E80F96" w14:paraId="35C97FB0" w14:textId="77777777" w:rsidTr="006A076B">
        <w:tc>
          <w:tcPr>
            <w:tcW w:w="0" w:type="auto"/>
            <w:shd w:val="clear" w:color="auto" w:fill="auto"/>
            <w:hideMark/>
          </w:tcPr>
          <w:p w14:paraId="7A43CBAA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E93A63" w14:textId="77777777" w:rsidR="003C3DFB" w:rsidRPr="00E80F96" w:rsidRDefault="003C3DFB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14:paraId="2F71A4BC" w14:textId="77777777" w:rsidR="003C3DFB" w:rsidRPr="00E80F96" w:rsidRDefault="003C3DFB" w:rsidP="006A07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0F96">
              <w:rPr>
                <w:rFonts w:ascii="Times New Roman" w:eastAsia="Times New Roman" w:hAnsi="Times New Roman" w:cs="Times New Roman"/>
                <w:color w:val="000000"/>
              </w:rPr>
              <w:t>podnosi izvješća o iskustvima i dobrim praksama s ciljem unapređenja ključnih kompetencija učenika kao dio pristupa za cjeloživotno učenje u obrazovnom okruženju te okruženju osposobljavanja i učenja u Uniji putem postojećih okvira i alata.</w:t>
            </w:r>
          </w:p>
        </w:tc>
      </w:tr>
    </w:tbl>
    <w:p w14:paraId="0E34500B" w14:textId="77777777" w:rsidR="003C3DFB" w:rsidRPr="00E80F96" w:rsidRDefault="003C3DFB" w:rsidP="003C3DFB">
      <w:p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E80F96">
        <w:rPr>
          <w:rFonts w:ascii="Times New Roman" w:eastAsia="Times New Roman" w:hAnsi="Times New Roman" w:cs="Times New Roman"/>
          <w:color w:val="000000"/>
        </w:rPr>
        <w:t>Ovom se Preporukom zamjenjuje Preporuka Europskog parlamenta i Vijeća od 18. prosinca 2006. o ključnim kompetencijama za cjeloživotno učenje.</w:t>
      </w:r>
    </w:p>
    <w:p w14:paraId="07EF65F4" w14:textId="77777777" w:rsidR="003C3DFB" w:rsidRPr="00E80F96" w:rsidRDefault="003C3DFB" w:rsidP="003C3DFB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E80F96">
        <w:rPr>
          <w:rFonts w:ascii="Times New Roman" w:eastAsia="Times New Roman" w:hAnsi="Times New Roman" w:cs="Times New Roman"/>
          <w:color w:val="000000"/>
        </w:rPr>
        <w:t>Sastavljeno u Bruxellesu 22. svibnja 2018.</w:t>
      </w:r>
    </w:p>
    <w:p w14:paraId="0626FEB6" w14:textId="77777777" w:rsidR="003C3DFB" w:rsidRPr="00E80F96" w:rsidRDefault="003C3DFB" w:rsidP="003C3DFB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</w:rPr>
      </w:pPr>
      <w:r w:rsidRPr="00E80F96">
        <w:rPr>
          <w:rFonts w:ascii="Times New Roman" w:eastAsia="Times New Roman" w:hAnsi="Times New Roman" w:cs="Times New Roman"/>
          <w:i/>
          <w:iCs/>
          <w:color w:val="000000"/>
        </w:rPr>
        <w:t>Za Vijeće</w:t>
      </w:r>
    </w:p>
    <w:p w14:paraId="21064105" w14:textId="77777777" w:rsidR="003C3DFB" w:rsidRPr="00E80F96" w:rsidRDefault="003C3DFB" w:rsidP="003C3DFB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</w:rPr>
      </w:pPr>
      <w:r w:rsidRPr="00E80F96">
        <w:rPr>
          <w:rFonts w:ascii="Times New Roman" w:eastAsia="Times New Roman" w:hAnsi="Times New Roman" w:cs="Times New Roman"/>
          <w:i/>
          <w:iCs/>
          <w:color w:val="000000"/>
        </w:rPr>
        <w:t>Predsjednik</w:t>
      </w:r>
    </w:p>
    <w:p w14:paraId="07F91970" w14:textId="77777777" w:rsidR="003C3DFB" w:rsidRPr="00E80F96" w:rsidRDefault="003C3DFB" w:rsidP="003C3DFB">
      <w:pPr>
        <w:spacing w:before="60" w:after="60"/>
        <w:jc w:val="center"/>
        <w:rPr>
          <w:rFonts w:ascii="Times New Roman" w:eastAsia="Times New Roman" w:hAnsi="Times New Roman" w:cs="Times New Roman"/>
          <w:color w:val="000000"/>
        </w:rPr>
      </w:pPr>
      <w:r w:rsidRPr="00E80F96">
        <w:rPr>
          <w:rFonts w:ascii="Times New Roman" w:eastAsia="Times New Roman" w:hAnsi="Times New Roman" w:cs="Times New Roman"/>
          <w:color w:val="000000"/>
        </w:rPr>
        <w:t>K. VALCHEV</w:t>
      </w:r>
    </w:p>
    <w:p w14:paraId="7A518F23" w14:textId="77777777" w:rsidR="003C3DFB" w:rsidRPr="00E80F96" w:rsidRDefault="003C3DFB" w:rsidP="003C3DFB">
      <w:pPr>
        <w:spacing w:before="240" w:after="60"/>
        <w:rPr>
          <w:rFonts w:ascii="Times New Roman" w:eastAsia="Times New Roman" w:hAnsi="Times New Roman" w:cs="Times New Roman"/>
        </w:rPr>
      </w:pPr>
      <w:r w:rsidRPr="00E80F96">
        <w:rPr>
          <w:rFonts w:ascii="Times New Roman" w:eastAsia="Times New Roman" w:hAnsi="Times New Roman" w:cs="Times New Roman"/>
          <w:noProof/>
        </w:rPr>
        <w:lastRenderedPageBreak/>
        <w:pict w14:anchorId="02092854">
          <v:rect id="_x0000_i1025" alt="" style="width:135.15pt;height:.75pt;mso-width-percent:0;mso-height-percent:0;mso-width-percent:0;mso-height-percent:0" o:hrpct="0" o:hrstd="t" o:hrnoshade="t" o:hr="t" fillcolor="black" stroked="f"/>
        </w:pict>
      </w:r>
    </w:p>
    <w:p w14:paraId="25ED2D6C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7" w:anchor="ntc1-C_2018189HR.01000101-E0001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COM(2017)250.</w:t>
      </w:r>
    </w:p>
    <w:p w14:paraId="16F45DE1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8" w:anchor="ntc2-C_2018189HR.01000101-E0002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2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COM(2017)673.</w:t>
      </w:r>
    </w:p>
    <w:p w14:paraId="37C24BD1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9" w:anchor="ntc3-C_2018189HR.01000101-E0003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3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</w:t>
      </w:r>
      <w:hyperlink r:id="rId10" w:history="1">
        <w:r w:rsidRPr="00E80F96">
          <w:rPr>
            <w:rFonts w:ascii="Times New Roman" w:eastAsia="Times New Roman" w:hAnsi="Times New Roman" w:cs="Times New Roman"/>
            <w:color w:val="3366CC"/>
          </w:rPr>
          <w:t>SL L 394, 30.12.2006., str. 10.</w:t>
        </w:r>
      </w:hyperlink>
    </w:p>
    <w:p w14:paraId="33E36AEA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1" w:anchor="ntc4-C_2018189HR.01000101-E0004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4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OECD (2016.), Rezultati istraživanja programa PISA za 2015.</w:t>
      </w:r>
    </w:p>
    <w:p w14:paraId="3689729E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2" w:anchor="ntc5-C_2018189HR.01000101-E0005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5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Europska komisija (2016.), Pregled obrazovanja i osposobljavanja za 2016.</w:t>
      </w:r>
    </w:p>
    <w:p w14:paraId="51FEE88C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3" w:anchor="ntc6-C_2018189HR.01000101-E0006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6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Europska komisija, Pregled digitalnih rezultata za 2017.</w:t>
      </w:r>
    </w:p>
    <w:p w14:paraId="3B2C11D6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4" w:anchor="ntc7-C_2018189HR.01000101-E0007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7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 xml:space="preserve">  Dokument za razmatranje o svladavanju globalizacije – COM(2017) 240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</w:rPr>
        <w:t>final</w:t>
      </w:r>
      <w:proofErr w:type="spellEnd"/>
      <w:r w:rsidRPr="00E80F96">
        <w:rPr>
          <w:rFonts w:ascii="Times New Roman" w:eastAsia="Times New Roman" w:hAnsi="Times New Roman" w:cs="Times New Roman"/>
          <w:color w:val="000000"/>
        </w:rPr>
        <w:t>.</w:t>
      </w:r>
    </w:p>
    <w:p w14:paraId="24B50374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5" w:anchor="ntc8-C_2018189HR.01000101-E0008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8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 xml:space="preserve">  Ponovno promišljanje obrazovanja: ulaganje u vještine za bolje socioekonomske ishode, COM(2012) 669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</w:rPr>
        <w:t>final</w:t>
      </w:r>
      <w:proofErr w:type="spellEnd"/>
      <w:r w:rsidRPr="00E80F96">
        <w:rPr>
          <w:rFonts w:ascii="Times New Roman" w:eastAsia="Times New Roman" w:hAnsi="Times New Roman" w:cs="Times New Roman"/>
          <w:color w:val="000000"/>
        </w:rPr>
        <w:t>.</w:t>
      </w:r>
    </w:p>
    <w:p w14:paraId="4F524245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6" w:anchor="ntc9-C_2018189HR.01000101-E0009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9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 xml:space="preserve">  COM(2016) 381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</w:rPr>
        <w:t>final</w:t>
      </w:r>
      <w:proofErr w:type="spellEnd"/>
      <w:r w:rsidRPr="00E80F96">
        <w:rPr>
          <w:rFonts w:ascii="Times New Roman" w:eastAsia="Times New Roman" w:hAnsi="Times New Roman" w:cs="Times New Roman"/>
          <w:color w:val="000000"/>
        </w:rPr>
        <w:t>.</w:t>
      </w:r>
    </w:p>
    <w:p w14:paraId="21C535B3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7" w:anchor="ntc10-C_2018189HR.01000101-E0010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10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Zajedničko izvješće Vijeća i Komisije o provedbi strateškog okvira za europsku suradnju u području obrazovanja i osposobljavanja (ET 2020.) (</w:t>
      </w:r>
      <w:hyperlink r:id="rId18" w:history="1">
        <w:r w:rsidRPr="00E80F96">
          <w:rPr>
            <w:rFonts w:ascii="Times New Roman" w:eastAsia="Times New Roman" w:hAnsi="Times New Roman" w:cs="Times New Roman"/>
            <w:color w:val="3366CC"/>
          </w:rPr>
          <w:t>SL C 417, 15.12.2015., str. 25.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).</w:t>
      </w:r>
    </w:p>
    <w:p w14:paraId="25A9C555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19" w:anchor="ntc11-C_2018189HR.01000101-E0011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11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</w:t>
      </w:r>
      <w:hyperlink r:id="rId20" w:history="1">
        <w:r w:rsidRPr="00E80F96">
          <w:rPr>
            <w:rFonts w:ascii="Times New Roman" w:eastAsia="Times New Roman" w:hAnsi="Times New Roman" w:cs="Times New Roman"/>
            <w:color w:val="3366CC"/>
          </w:rPr>
          <w:t>SL C 398, 22.12.2012., str. 1.</w:t>
        </w:r>
      </w:hyperlink>
    </w:p>
    <w:p w14:paraId="7D041548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21" w:anchor="ntc12-C_2018189HR.01000101-E0012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12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</w:t>
      </w:r>
      <w:hyperlink r:id="rId22" w:history="1">
        <w:r w:rsidRPr="00E80F96">
          <w:rPr>
            <w:rFonts w:ascii="Times New Roman" w:eastAsia="Times New Roman" w:hAnsi="Times New Roman" w:cs="Times New Roman"/>
            <w:color w:val="3366CC"/>
          </w:rPr>
          <w:t>SL C 189, 15.6.2017., str. 15.</w:t>
        </w:r>
      </w:hyperlink>
    </w:p>
    <w:p w14:paraId="20B16F55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23" w:anchor="ntc13-C_2018189HR.01000101-E0013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13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Rezolucija Vijeća od 21. studenoga 2008. o boljoj integraciji cjeloživotnog profesionalnog usmjeravanja u strategije cjeloživotnog učenja (</w:t>
      </w:r>
      <w:hyperlink r:id="rId24" w:history="1">
        <w:r w:rsidRPr="00E80F96">
          <w:rPr>
            <w:rFonts w:ascii="Times New Roman" w:eastAsia="Times New Roman" w:hAnsi="Times New Roman" w:cs="Times New Roman"/>
            <w:color w:val="3366CC"/>
          </w:rPr>
          <w:t>SL C 319, 13.12.2008., str. 4.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).</w:t>
      </w:r>
    </w:p>
    <w:p w14:paraId="5208D33D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25" w:anchor="ntc14-C_2018189HR.01000101-E0014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14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Rezolucija Ujedinjenih naroda koju je Opća skupština donijela 25. rujna 2015., Promijeniti svijet: program održivog razvoja do 2030.</w:t>
      </w:r>
    </w:p>
    <w:p w14:paraId="379CB050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26" w:anchor="ntc15-C_2018189HR.01000101-E0015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15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Zaključci Vijeća o ulozi rada s mladima u podupiranju razvoja ključnih životnih vještina mladih koje im olakšavaju uspješan prijelaz u odraslu dob, aktivno građanstvo i radni život (</w:t>
      </w:r>
      <w:hyperlink r:id="rId27" w:history="1">
        <w:r w:rsidRPr="00E80F96">
          <w:rPr>
            <w:rFonts w:ascii="Times New Roman" w:eastAsia="Times New Roman" w:hAnsi="Times New Roman" w:cs="Times New Roman"/>
            <w:color w:val="3366CC"/>
          </w:rPr>
          <w:t>SL C 189, 15.6.2017., str. 30.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).</w:t>
      </w:r>
    </w:p>
    <w:p w14:paraId="1124CF26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28" w:anchor="ntc16-C_2018189HR.01000101-E0016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16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Zaključci Vijeća o jačanju međusektorske suradnje u području politika s ciljem učinkovitog rješavanja socijalno-ekonomskih izazova s kojima se suočavaju mladi (</w:t>
      </w:r>
      <w:hyperlink r:id="rId29" w:history="1">
        <w:r w:rsidRPr="00E80F96">
          <w:rPr>
            <w:rFonts w:ascii="Times New Roman" w:eastAsia="Times New Roman" w:hAnsi="Times New Roman" w:cs="Times New Roman"/>
            <w:color w:val="3366CC"/>
          </w:rPr>
          <w:t>SL C 172, 27.5.2015., str. 3.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).</w:t>
      </w:r>
    </w:p>
    <w:p w14:paraId="4C2B8F5D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30" w:anchor="ntc17-C_2018189HR.01000101-E0017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17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Zaključci Vijeća o ulozi ranog i predškolskog odgoja i obrazovanja te osnovnoškolskog obrazovanja u poticanju kreativnosti, inovativnosti i digitalne kompetencije </w:t>
      </w:r>
      <w:hyperlink r:id="rId31" w:history="1">
        <w:r w:rsidRPr="00E80F96">
          <w:rPr>
            <w:rFonts w:ascii="Times New Roman" w:eastAsia="Times New Roman" w:hAnsi="Times New Roman" w:cs="Times New Roman"/>
            <w:color w:val="3366CC"/>
          </w:rPr>
          <w:t>SL C 172, 27.5.2015., str. 17.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).</w:t>
      </w:r>
    </w:p>
    <w:p w14:paraId="3E27C338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32" w:anchor="ntc18-C_2018189HR.01000101-E0018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18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Zaključci Vijeća o razvoju škola i izvrsnosti u poučavanju (</w:t>
      </w:r>
      <w:hyperlink r:id="rId33" w:history="1">
        <w:r w:rsidRPr="00E80F96">
          <w:rPr>
            <w:rFonts w:ascii="Times New Roman" w:eastAsia="Times New Roman" w:hAnsi="Times New Roman" w:cs="Times New Roman"/>
            <w:color w:val="3366CC"/>
          </w:rPr>
          <w:t>SL C 421, 8.12.2017., str. 2.</w:t>
        </w:r>
      </w:hyperlink>
    </w:p>
    <w:p w14:paraId="16790C6B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34" w:anchor="ntc19-C_2018189HR.01000101-E0019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19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Preporuka Vijeća od 19. prosinca 2016. o oblicima usavršavanja: nove prilike za odrasle (</w:t>
      </w:r>
      <w:hyperlink r:id="rId35" w:history="1">
        <w:r w:rsidRPr="00E80F96">
          <w:rPr>
            <w:rFonts w:ascii="Times New Roman" w:eastAsia="Times New Roman" w:hAnsi="Times New Roman" w:cs="Times New Roman"/>
            <w:color w:val="3366CC"/>
          </w:rPr>
          <w:t>SL C 484, 24.12.2016., str. 1.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).</w:t>
      </w:r>
    </w:p>
    <w:p w14:paraId="3CDE2CE1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36" w:anchor="ntc20-C_2018189HR.01000101-E0020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20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Zaključci Vijeća o obnovljenom programu EU-a za visoko obrazovanje (</w:t>
      </w:r>
      <w:hyperlink r:id="rId37" w:history="1">
        <w:r w:rsidRPr="00E80F96">
          <w:rPr>
            <w:rFonts w:ascii="Times New Roman" w:eastAsia="Times New Roman" w:hAnsi="Times New Roman" w:cs="Times New Roman"/>
            <w:color w:val="3366CC"/>
          </w:rPr>
          <w:t>SL C 429, 14.12.2017., str. 3.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).</w:t>
      </w:r>
    </w:p>
    <w:p w14:paraId="326C7C92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38" w:anchor="ntc21-C_2018189HR.01000101-E0021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21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Na temelju iskustava i stručnih znanja stečenih tijekom izrade Zajedničkog europskog referentnog okvira za jezike, Okvira digitalnih kompetencija i Okvira za poduzetničke kompetencije.</w:t>
      </w:r>
    </w:p>
    <w:p w14:paraId="06F3B5CC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39" w:anchor="ntc22-C_2018189HR.01000101-E0022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22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Poput Okvira digitalnih kompetencija.</w:t>
      </w:r>
    </w:p>
    <w:p w14:paraId="4E9214E5" w14:textId="77777777" w:rsidR="003C3DFB" w:rsidRPr="00E80F96" w:rsidRDefault="003C3DFB" w:rsidP="003C3DFB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</w:rPr>
      </w:pPr>
      <w:hyperlink r:id="rId40" w:anchor="ntc23-C_2018189HR.01000101-E0023" w:history="1">
        <w:r w:rsidRPr="00E80F96">
          <w:rPr>
            <w:rFonts w:ascii="Times New Roman" w:eastAsia="Times New Roman" w:hAnsi="Times New Roman" w:cs="Times New Roman"/>
            <w:color w:val="3366CC"/>
          </w:rPr>
          <w:t>(</w:t>
        </w:r>
        <w:r w:rsidRPr="00E80F96">
          <w:rPr>
            <w:rFonts w:ascii="Times New Roman" w:eastAsia="Times New Roman" w:hAnsi="Times New Roman" w:cs="Times New Roman"/>
            <w:color w:val="3366CC"/>
            <w:vertAlign w:val="superscript"/>
          </w:rPr>
          <w:t>23</w:t>
        </w:r>
        <w:r w:rsidRPr="00E80F96">
          <w:rPr>
            <w:rFonts w:ascii="Times New Roman" w:eastAsia="Times New Roman" w:hAnsi="Times New Roman" w:cs="Times New Roman"/>
            <w:color w:val="3366CC"/>
          </w:rPr>
          <w:t>)</w:t>
        </w:r>
      </w:hyperlink>
      <w:r w:rsidRPr="00E80F96">
        <w:rPr>
          <w:rFonts w:ascii="Times New Roman" w:eastAsia="Times New Roman" w:hAnsi="Times New Roman" w:cs="Times New Roman"/>
          <w:color w:val="000000"/>
        </w:rPr>
        <w:t>  Procjena ključnih kompetencija u inicijalnom obrazovanju i osposobljavanju: političke smjernice, SWD(2012) 371.</w:t>
      </w:r>
    </w:p>
    <w:p w14:paraId="55388176" w14:textId="77777777" w:rsidR="003C3DFB" w:rsidRPr="00E80F96" w:rsidRDefault="003C3DFB" w:rsidP="003C3DFB">
      <w:pPr>
        <w:spacing w:before="120" w:after="120"/>
        <w:rPr>
          <w:rFonts w:ascii="Times New Roman" w:eastAsia="Times New Roman" w:hAnsi="Times New Roman" w:cs="Times New Roman"/>
        </w:rPr>
      </w:pPr>
      <w:r w:rsidRPr="00E80F96">
        <w:rPr>
          <w:rFonts w:ascii="Times New Roman" w:eastAsia="Times New Roman" w:hAnsi="Times New Roman" w:cs="Times New Roman"/>
          <w:noProof/>
        </w:rPr>
        <w:pict w14:anchorId="345CC688">
          <v:rect id="_x0000_i1026" alt="" style="width:67.55pt;height:.75pt;mso-width-percent:0;mso-height-percent:0;mso-width-percent:0;mso-height-percent:0" o:hrpct="0" o:hralign="center" o:hrstd="t" o:hrnoshade="t" o:hr="t" fillcolor="black" stroked="f"/>
        </w:pict>
      </w:r>
    </w:p>
    <w:p w14:paraId="73CB77C3" w14:textId="77777777" w:rsidR="003C3DFB" w:rsidRDefault="003C3DFB" w:rsidP="003C3DFB">
      <w:pPr>
        <w:spacing w:before="240" w:after="1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46E45FF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FB"/>
    <w:rsid w:val="001A3524"/>
    <w:rsid w:val="00213469"/>
    <w:rsid w:val="003C3DFB"/>
    <w:rsid w:val="009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4051"/>
  <w15:chartTrackingRefBased/>
  <w15:docId w15:val="{B9246A41-28E3-41FF-8866-B927FA5F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18H0604(01)&amp;from=EN" TargetMode="External"/><Relationship Id="rId13" Type="http://schemas.openxmlformats.org/officeDocument/2006/relationships/hyperlink" Target="https://eur-lex.europa.eu/legal-content/HR/TXT/HTML/?uri=CELEX:32018H0604(01)&amp;from=EN" TargetMode="External"/><Relationship Id="rId18" Type="http://schemas.openxmlformats.org/officeDocument/2006/relationships/hyperlink" Target="https://eur-lex.europa.eu/legal-content/HR/AUTO/?uri=OJ:C:2015:417:TOC" TargetMode="External"/><Relationship Id="rId26" Type="http://schemas.openxmlformats.org/officeDocument/2006/relationships/hyperlink" Target="https://eur-lex.europa.eu/legal-content/HR/TXT/HTML/?uri=CELEX:32018H0604(01)&amp;from=EN" TargetMode="External"/><Relationship Id="rId39" Type="http://schemas.openxmlformats.org/officeDocument/2006/relationships/hyperlink" Target="https://eur-lex.europa.eu/legal-content/HR/TXT/HTML/?uri=CELEX:32018H0604(01)&amp;from=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-lex.europa.eu/legal-content/HR/TXT/HTML/?uri=CELEX:32018H0604(01)&amp;from=EN" TargetMode="External"/><Relationship Id="rId34" Type="http://schemas.openxmlformats.org/officeDocument/2006/relationships/hyperlink" Target="https://eur-lex.europa.eu/legal-content/HR/TXT/HTML/?uri=CELEX:32018H0604(01)&amp;from=E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ur-lex.europa.eu/legal-content/HR/TXT/HTML/?uri=CELEX:32018H0604(01)&amp;from=EN" TargetMode="External"/><Relationship Id="rId12" Type="http://schemas.openxmlformats.org/officeDocument/2006/relationships/hyperlink" Target="https://eur-lex.europa.eu/legal-content/HR/TXT/HTML/?uri=CELEX:32018H0604(01)&amp;from=EN" TargetMode="External"/><Relationship Id="rId17" Type="http://schemas.openxmlformats.org/officeDocument/2006/relationships/hyperlink" Target="https://eur-lex.europa.eu/legal-content/HR/TXT/HTML/?uri=CELEX:32018H0604(01)&amp;from=EN" TargetMode="External"/><Relationship Id="rId25" Type="http://schemas.openxmlformats.org/officeDocument/2006/relationships/hyperlink" Target="https://eur-lex.europa.eu/legal-content/HR/TXT/HTML/?uri=CELEX:32018H0604(01)&amp;from=EN" TargetMode="External"/><Relationship Id="rId33" Type="http://schemas.openxmlformats.org/officeDocument/2006/relationships/hyperlink" Target="https://eur-lex.europa.eu/legal-content/HR/AUTO/?uri=OJ:C:2017:421:TOC" TargetMode="External"/><Relationship Id="rId38" Type="http://schemas.openxmlformats.org/officeDocument/2006/relationships/hyperlink" Target="https://eur-lex.europa.eu/legal-content/HR/TXT/HTML/?uri=CELEX:32018H0604(01)&amp;from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-lex.europa.eu/legal-content/HR/TXT/HTML/?uri=CELEX:32018H0604(01)&amp;from=EN" TargetMode="External"/><Relationship Id="rId20" Type="http://schemas.openxmlformats.org/officeDocument/2006/relationships/hyperlink" Target="https://eur-lex.europa.eu/legal-content/HR/AUTO/?uri=OJ:C:2012:398:TOC" TargetMode="External"/><Relationship Id="rId29" Type="http://schemas.openxmlformats.org/officeDocument/2006/relationships/hyperlink" Target="https://eur-lex.europa.eu/legal-content/HR/AUTO/?uri=OJ:C:2015:172:TO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HTML/?uri=CELEX:32018H0604(01)&amp;from=EN" TargetMode="External"/><Relationship Id="rId11" Type="http://schemas.openxmlformats.org/officeDocument/2006/relationships/hyperlink" Target="https://eur-lex.europa.eu/legal-content/HR/TXT/HTML/?uri=CELEX:32018H0604(01)&amp;from=EN" TargetMode="External"/><Relationship Id="rId24" Type="http://schemas.openxmlformats.org/officeDocument/2006/relationships/hyperlink" Target="https://eur-lex.europa.eu/legal-content/HR/AUTO/?uri=OJ:C:2008:319:TOC" TargetMode="External"/><Relationship Id="rId32" Type="http://schemas.openxmlformats.org/officeDocument/2006/relationships/hyperlink" Target="https://eur-lex.europa.eu/legal-content/HR/TXT/HTML/?uri=CELEX:32018H0604(01)&amp;from=EN" TargetMode="External"/><Relationship Id="rId37" Type="http://schemas.openxmlformats.org/officeDocument/2006/relationships/hyperlink" Target="https://eur-lex.europa.eu/legal-content/HR/AUTO/?uri=OJ:C:2017:429:TOC" TargetMode="External"/><Relationship Id="rId40" Type="http://schemas.openxmlformats.org/officeDocument/2006/relationships/hyperlink" Target="https://eur-lex.europa.eu/legal-content/HR/TXT/HTML/?uri=CELEX:32018H0604(01)&amp;from=EN" TargetMode="External"/><Relationship Id="rId5" Type="http://schemas.openxmlformats.org/officeDocument/2006/relationships/hyperlink" Target="https://eur-lex.europa.eu/legal-content/HR/TXT/HTML/?uri=CELEX:32018H0604(01)&amp;from=EN" TargetMode="External"/><Relationship Id="rId15" Type="http://schemas.openxmlformats.org/officeDocument/2006/relationships/hyperlink" Target="https://eur-lex.europa.eu/legal-content/HR/TXT/HTML/?uri=CELEX:32018H0604(01)&amp;from=EN" TargetMode="External"/><Relationship Id="rId23" Type="http://schemas.openxmlformats.org/officeDocument/2006/relationships/hyperlink" Target="https://eur-lex.europa.eu/legal-content/HR/TXT/HTML/?uri=CELEX:32018H0604(01)&amp;from=EN" TargetMode="External"/><Relationship Id="rId28" Type="http://schemas.openxmlformats.org/officeDocument/2006/relationships/hyperlink" Target="https://eur-lex.europa.eu/legal-content/HR/TXT/HTML/?uri=CELEX:32018H0604(01)&amp;from=EN" TargetMode="External"/><Relationship Id="rId36" Type="http://schemas.openxmlformats.org/officeDocument/2006/relationships/hyperlink" Target="https://eur-lex.europa.eu/legal-content/HR/TXT/HTML/?uri=CELEX:32018H0604(01)&amp;from=EN" TargetMode="External"/><Relationship Id="rId10" Type="http://schemas.openxmlformats.org/officeDocument/2006/relationships/hyperlink" Target="https://eur-lex.europa.eu/legal-content/HR/AUTO/?uri=OJ:L:2006:394:TOC" TargetMode="External"/><Relationship Id="rId19" Type="http://schemas.openxmlformats.org/officeDocument/2006/relationships/hyperlink" Target="https://eur-lex.europa.eu/legal-content/HR/TXT/HTML/?uri=CELEX:32018H0604(01)&amp;from=EN" TargetMode="External"/><Relationship Id="rId31" Type="http://schemas.openxmlformats.org/officeDocument/2006/relationships/hyperlink" Target="https://eur-lex.europa.eu/legal-content/HR/AUTO/?uri=OJ:C:2015:172:TOC" TargetMode="External"/><Relationship Id="rId4" Type="http://schemas.openxmlformats.org/officeDocument/2006/relationships/hyperlink" Target="https://eur-lex.europa.eu/legal-content/HR/TXT/HTML/?uri=CELEX:32018H0604(01)&amp;from=EN" TargetMode="External"/><Relationship Id="rId9" Type="http://schemas.openxmlformats.org/officeDocument/2006/relationships/hyperlink" Target="https://eur-lex.europa.eu/legal-content/HR/TXT/HTML/?uri=CELEX:32018H0604(01)&amp;from=EN" TargetMode="External"/><Relationship Id="rId14" Type="http://schemas.openxmlformats.org/officeDocument/2006/relationships/hyperlink" Target="https://eur-lex.europa.eu/legal-content/HR/TXT/HTML/?uri=CELEX:32018H0604(01)&amp;from=EN" TargetMode="External"/><Relationship Id="rId22" Type="http://schemas.openxmlformats.org/officeDocument/2006/relationships/hyperlink" Target="https://eur-lex.europa.eu/legal-content/HR/AUTO/?uri=OJ:C:2017:189:TOC" TargetMode="External"/><Relationship Id="rId27" Type="http://schemas.openxmlformats.org/officeDocument/2006/relationships/hyperlink" Target="https://eur-lex.europa.eu/legal-content/HR/AUTO/?uri=OJ:C:2017:189:TOC" TargetMode="External"/><Relationship Id="rId30" Type="http://schemas.openxmlformats.org/officeDocument/2006/relationships/hyperlink" Target="https://eur-lex.europa.eu/legal-content/HR/TXT/HTML/?uri=CELEX:32018H0604(01)&amp;from=EN" TargetMode="External"/><Relationship Id="rId35" Type="http://schemas.openxmlformats.org/officeDocument/2006/relationships/hyperlink" Target="https://eur-lex.europa.eu/legal-content/HR/AUTO/?uri=OJ:C:2016:484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Maja Jukic</cp:lastModifiedBy>
  <cp:revision>1</cp:revision>
  <dcterms:created xsi:type="dcterms:W3CDTF">2020-09-01T15:54:00Z</dcterms:created>
  <dcterms:modified xsi:type="dcterms:W3CDTF">2020-09-01T16:08:00Z</dcterms:modified>
</cp:coreProperties>
</file>